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3B61" w14:textId="69ABE431" w:rsidR="00283B3B" w:rsidRDefault="00283B3B" w:rsidP="00283B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BEFORE THE PUBLIC SERVICE COMMISSION</w:t>
      </w:r>
    </w:p>
    <w:p w14:paraId="025E2557" w14:textId="77777777" w:rsidR="00BF6C84" w:rsidRDefault="00BF6C84" w:rsidP="00283B3B">
      <w:pPr>
        <w:spacing w:after="0" w:line="240" w:lineRule="auto"/>
        <w:jc w:val="center"/>
        <w:rPr>
          <w:b/>
          <w:bCs/>
        </w:rPr>
      </w:pPr>
    </w:p>
    <w:p w14:paraId="63039FA6" w14:textId="77777777" w:rsidR="00283B3B" w:rsidRDefault="00283B3B" w:rsidP="00283B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 THE STATE OF DELAWARE</w:t>
      </w:r>
    </w:p>
    <w:p w14:paraId="1D1091FA" w14:textId="77777777" w:rsidR="00283B3B" w:rsidRDefault="00283B3B" w:rsidP="00283B3B">
      <w:pPr>
        <w:spacing w:after="0" w:line="240" w:lineRule="auto"/>
        <w:jc w:val="center"/>
        <w:rPr>
          <w:b/>
          <w:bCs/>
        </w:rPr>
      </w:pPr>
    </w:p>
    <w:p w14:paraId="33F7F44F" w14:textId="0C8A2E28" w:rsidR="00283B3B" w:rsidRPr="00283B3B" w:rsidRDefault="00283B3B" w:rsidP="00283B3B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t xml:space="preserve">IN THE MATTER OF DELMARVA </w:t>
      </w:r>
      <w:r>
        <w:tab/>
      </w:r>
      <w:r>
        <w:tab/>
        <w:t>)</w:t>
      </w:r>
    </w:p>
    <w:p w14:paraId="1FBCE22A" w14:textId="7883D5C4" w:rsidR="00283B3B" w:rsidRDefault="00283B3B" w:rsidP="00283B3B">
      <w:pPr>
        <w:spacing w:after="0" w:line="240" w:lineRule="auto"/>
      </w:pPr>
      <w:r>
        <w:t>POWER &amp; LIGHT COMPANY’S</w:t>
      </w:r>
      <w:r>
        <w:tab/>
      </w:r>
      <w:r>
        <w:tab/>
      </w:r>
      <w:r>
        <w:tab/>
        <w:t>)</w:t>
      </w:r>
      <w:r w:rsidRPr="00283B3B">
        <w:t xml:space="preserve"> </w:t>
      </w:r>
      <w:r>
        <w:tab/>
        <w:t xml:space="preserve">PSC DOCKET NO. </w:t>
      </w:r>
      <w:r w:rsidR="00D661AE">
        <w:t>23</w:t>
      </w:r>
      <w:r>
        <w:t>-</w:t>
      </w:r>
      <w:r w:rsidR="00D661AE">
        <w:t>0596</w:t>
      </w:r>
    </w:p>
    <w:p w14:paraId="3FA2ADB1" w14:textId="5733902D" w:rsidR="00283B3B" w:rsidRDefault="00283B3B" w:rsidP="00283B3B">
      <w:pPr>
        <w:spacing w:after="0" w:line="240" w:lineRule="auto"/>
      </w:pPr>
      <w:r>
        <w:t xml:space="preserve">GAS </w:t>
      </w:r>
      <w:r w:rsidR="00D661AE">
        <w:t xml:space="preserve">2022 </w:t>
      </w:r>
      <w:r>
        <w:t>ISR ANNUAL REPORT</w:t>
      </w:r>
      <w:r>
        <w:tab/>
      </w:r>
      <w:r>
        <w:tab/>
      </w:r>
      <w:r>
        <w:tab/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B9A43F" w14:textId="7EBEAE11" w:rsidR="00283B3B" w:rsidRDefault="00283B3B" w:rsidP="00283B3B">
      <w:pPr>
        <w:spacing w:after="0" w:line="240" w:lineRule="auto"/>
      </w:pPr>
      <w:r>
        <w:t xml:space="preserve">(Filed April </w:t>
      </w:r>
      <w:r w:rsidR="00D661AE">
        <w:t>27</w:t>
      </w:r>
      <w:r>
        <w:t xml:space="preserve">, </w:t>
      </w:r>
      <w:r w:rsidR="00D661AE">
        <w:t>2023</w:t>
      </w:r>
      <w:r>
        <w:t>)</w:t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</w:p>
    <w:p w14:paraId="10DEFBCD" w14:textId="77777777" w:rsidR="00283B3B" w:rsidRDefault="00283B3B" w:rsidP="00283B3B">
      <w:pPr>
        <w:spacing w:after="0" w:line="240" w:lineRule="auto"/>
      </w:pPr>
    </w:p>
    <w:p w14:paraId="556EA523" w14:textId="67F1C729" w:rsidR="00283B3B" w:rsidRDefault="00283B3B" w:rsidP="00283B3B">
      <w:pPr>
        <w:jc w:val="center"/>
        <w:rPr>
          <w:b/>
          <w:bCs/>
        </w:rPr>
      </w:pPr>
      <w:r>
        <w:rPr>
          <w:b/>
          <w:bCs/>
        </w:rPr>
        <w:t xml:space="preserve">ORDER NO. </w:t>
      </w:r>
      <w:r w:rsidR="00BF6C84">
        <w:rPr>
          <w:b/>
          <w:bCs/>
          <w:u w:val="single"/>
        </w:rPr>
        <w:t>10</w:t>
      </w:r>
      <w:r w:rsidR="00BF6C84">
        <w:rPr>
          <w:b/>
          <w:bCs/>
          <w:u w:val="single"/>
        </w:rPr>
        <w:t>303</w:t>
      </w:r>
    </w:p>
    <w:p w14:paraId="10C21C5D" w14:textId="6B9C1E92" w:rsidR="00283B3B" w:rsidRDefault="00283B3B" w:rsidP="00283B3B">
      <w:pPr>
        <w:pStyle w:val="TDWDblSp5Indent"/>
      </w:pPr>
      <w:r>
        <w:rPr>
          <w:b/>
          <w:bCs/>
        </w:rPr>
        <w:t>AND NOW</w:t>
      </w:r>
      <w:r>
        <w:t xml:space="preserve">, this </w:t>
      </w:r>
      <w:r w:rsidR="00D661AE">
        <w:t>13</w:t>
      </w:r>
      <w:r w:rsidR="00D661AE" w:rsidRPr="00CF5F62">
        <w:rPr>
          <w:vertAlign w:val="superscript"/>
        </w:rPr>
        <w:t>th</w:t>
      </w:r>
      <w:r w:rsidR="00D661AE">
        <w:t xml:space="preserve"> </w:t>
      </w:r>
      <w:r>
        <w:t xml:space="preserve">day of </w:t>
      </w:r>
      <w:r w:rsidR="00D661AE">
        <w:t xml:space="preserve">September </w:t>
      </w:r>
      <w:r>
        <w:t>202</w:t>
      </w:r>
      <w:r w:rsidR="00D661AE">
        <w:t>3</w:t>
      </w:r>
      <w:r>
        <w:t>, the Delaware Public Service Commission (“Commission”) determines and orders the following:</w:t>
      </w:r>
    </w:p>
    <w:p w14:paraId="01C6DDCD" w14:textId="77777777" w:rsidR="00283B3B" w:rsidRDefault="00283B3B" w:rsidP="00283B3B">
      <w:pPr>
        <w:pStyle w:val="TDWDblSp5Indent"/>
      </w:pPr>
      <w:r>
        <w:rPr>
          <w:b/>
          <w:bCs/>
        </w:rPr>
        <w:t>WHEREAS</w:t>
      </w:r>
      <w:r>
        <w:t xml:space="preserve">, the Commission’s Natural Gas Service Reliability and System Planning Standards, 26 </w:t>
      </w:r>
      <w:r>
        <w:rPr>
          <w:i/>
          <w:iCs/>
        </w:rPr>
        <w:t>Del. Admin. C.</w:t>
      </w:r>
      <w:r>
        <w:t xml:space="preserve"> § 8003 (the “Regulations”), were published and became final pursuant to Order No. 9627 and the Administrative Procedures Act (“APA”) </w:t>
      </w:r>
      <w:bookmarkStart w:id="0" w:name="_Hlk59021697"/>
      <w:r>
        <w:t>on October 11, 2020; and</w:t>
      </w:r>
      <w:bookmarkEnd w:id="0"/>
    </w:p>
    <w:p w14:paraId="4537B5EC" w14:textId="58DAD3B5" w:rsidR="00283B3B" w:rsidRDefault="00283B3B" w:rsidP="00283B3B">
      <w:pPr>
        <w:pStyle w:val="TDWDblSp5Indent"/>
      </w:pPr>
      <w:r>
        <w:rPr>
          <w:b/>
          <w:bCs/>
        </w:rPr>
        <w:t>WHEREAS</w:t>
      </w:r>
      <w:r>
        <w:t>, pursuant to Section 6.1</w:t>
      </w:r>
      <w:r w:rsidR="002D3224">
        <w:t>,</w:t>
      </w:r>
      <w:r>
        <w:rPr>
          <w:rStyle w:val="FootnoteReference"/>
        </w:rPr>
        <w:footnoteReference w:id="1"/>
      </w:r>
      <w:r>
        <w:t xml:space="preserve"> Delmarva Power &amp; Light (“Delmarva”) is required to submit an annual proposed rolling 5-year Infrastructure, Safety, and Reliability Plan identifying proposed capital spending necessary to maintain the reliability and quality of the GDC’s</w:t>
      </w:r>
      <w:r>
        <w:rPr>
          <w:rStyle w:val="FootnoteReference"/>
        </w:rPr>
        <w:footnoteReference w:id="2"/>
      </w:r>
      <w:r>
        <w:t xml:space="preserve"> distribution services; and</w:t>
      </w:r>
    </w:p>
    <w:p w14:paraId="054AFE46" w14:textId="36B9C898" w:rsidR="00283B3B" w:rsidRDefault="00283B3B" w:rsidP="00283B3B">
      <w:pPr>
        <w:pStyle w:val="TDWDblSp5Indent"/>
      </w:pPr>
      <w:r>
        <w:rPr>
          <w:b/>
          <w:bCs/>
        </w:rPr>
        <w:t>WHEREAS</w:t>
      </w:r>
      <w:r>
        <w:t xml:space="preserve">, Sections 6.1.1 through 6.1.2 of the Regulations mandate that Delmarva’s Proposed ISR Plan be structured under two major spending categories – Mandatory and Non-Mandatory; and </w:t>
      </w:r>
    </w:p>
    <w:p w14:paraId="29097E40" w14:textId="4288CDCF" w:rsidR="00283B3B" w:rsidRDefault="00283B3B" w:rsidP="00283B3B">
      <w:pPr>
        <w:pStyle w:val="TDWDblSp5Indent"/>
      </w:pPr>
      <w:r>
        <w:rPr>
          <w:b/>
          <w:bCs/>
        </w:rPr>
        <w:t>WHEREAS</w:t>
      </w:r>
      <w:r>
        <w:t xml:space="preserve">, Section 6.4. states that, in order to support each of its proposed annual budgets, Delmarva’s </w:t>
      </w:r>
      <w:r w:rsidR="00D661AE">
        <w:t xml:space="preserve">proposed </w:t>
      </w:r>
      <w:r>
        <w:t xml:space="preserve">ISR Plan shall describe: “[h]ow the GDC developed the spending </w:t>
      </w:r>
      <w:r>
        <w:lastRenderedPageBreak/>
        <w:t>plan and levels;</w:t>
      </w:r>
      <w:r>
        <w:rPr>
          <w:rStyle w:val="FootnoteReference"/>
        </w:rPr>
        <w:footnoteReference w:id="3"/>
      </w:r>
      <w:r>
        <w:t xml:space="preserve"> [t]he justification, scope, system planning and modeling outputs;</w:t>
      </w:r>
      <w:r>
        <w:rPr>
          <w:rStyle w:val="FootnoteReference"/>
        </w:rPr>
        <w:footnoteReference w:id="4"/>
      </w:r>
      <w:r>
        <w:t xml:space="preserve"> and [the] [e]stimated cost for each planned project of $1,000,000 or more[;]”</w:t>
      </w:r>
      <w:r>
        <w:rPr>
          <w:rStyle w:val="FootnoteReference"/>
        </w:rPr>
        <w:footnoteReference w:id="5"/>
      </w:r>
      <w:r>
        <w:t xml:space="preserve"> and </w:t>
      </w:r>
    </w:p>
    <w:p w14:paraId="6C3D2747" w14:textId="0C104E14" w:rsidR="00283B3B" w:rsidRDefault="00283B3B" w:rsidP="00283B3B">
      <w:pPr>
        <w:pStyle w:val="TDWDblSp5Indent"/>
      </w:pPr>
      <w:r>
        <w:rPr>
          <w:b/>
        </w:rPr>
        <w:t>WHEREAS</w:t>
      </w:r>
      <w:r>
        <w:t xml:space="preserve">, Section 6.5 provides that the </w:t>
      </w:r>
      <w:r w:rsidR="00D661AE">
        <w:t xml:space="preserve">proposed </w:t>
      </w:r>
      <w:r>
        <w:t xml:space="preserve">ISR Plan shall include Delmarva’s estimated cost of plant in service and cost of removal for each year of the five-year term; and </w:t>
      </w:r>
    </w:p>
    <w:p w14:paraId="0118BA52" w14:textId="0EE4ADDE" w:rsidR="00283B3B" w:rsidRDefault="00283B3B" w:rsidP="00283B3B">
      <w:pPr>
        <w:pStyle w:val="TDWDblSp5Indent"/>
      </w:pPr>
      <w:r>
        <w:rPr>
          <w:b/>
        </w:rPr>
        <w:t>WHEREAS</w:t>
      </w:r>
      <w:r>
        <w:t xml:space="preserve">, the Regulations set forth the timing for: (a) Delmarva’s required submission of its </w:t>
      </w:r>
      <w:r w:rsidR="00D661AE">
        <w:t xml:space="preserve">proposed </w:t>
      </w:r>
      <w:r>
        <w:t>ISR Plan to Commission Staff (“Staff”) and the Division of the Public Advocate (“DPA”);</w:t>
      </w:r>
      <w:r>
        <w:rPr>
          <w:rStyle w:val="FootnoteReference"/>
        </w:rPr>
        <w:footnoteReference w:id="6"/>
      </w:r>
      <w:r>
        <w:t xml:space="preserve"> (b) discussion conferences among Delmarva, Staff, and the DPA;</w:t>
      </w:r>
      <w:r>
        <w:rPr>
          <w:rStyle w:val="FootnoteReference"/>
        </w:rPr>
        <w:footnoteReference w:id="7"/>
      </w:r>
      <w:r>
        <w:t xml:space="preserve"> (c) Staff’s and the DPA’s respective opportunities to file written comments;</w:t>
      </w:r>
      <w:r>
        <w:rPr>
          <w:rStyle w:val="FootnoteReference"/>
        </w:rPr>
        <w:footnoteReference w:id="8"/>
      </w:r>
      <w:r>
        <w:t xml:space="preserve"> (d) Delmarva’s opportunity to file reply comments;</w:t>
      </w:r>
      <w:r>
        <w:rPr>
          <w:rStyle w:val="FootnoteReference"/>
        </w:rPr>
        <w:footnoteReference w:id="9"/>
      </w:r>
      <w:r>
        <w:t xml:space="preserve"> and (e) Delmarva’s required submission of its ISR Plan to the Commission;</w:t>
      </w:r>
      <w:r>
        <w:rPr>
          <w:rStyle w:val="FootnoteReference"/>
        </w:rPr>
        <w:footnoteReference w:id="10"/>
      </w:r>
      <w:r>
        <w:t xml:space="preserve"> and </w:t>
      </w:r>
    </w:p>
    <w:p w14:paraId="2CB08214" w14:textId="44D1638E" w:rsidR="00283B3B" w:rsidRDefault="00283B3B" w:rsidP="00283B3B">
      <w:pPr>
        <w:pStyle w:val="TDWDblSp5Indent"/>
      </w:pPr>
      <w:r>
        <w:rPr>
          <w:b/>
        </w:rPr>
        <w:t>WHEREAS</w:t>
      </w:r>
      <w:r>
        <w:t xml:space="preserve">, on April </w:t>
      </w:r>
      <w:r w:rsidR="00D661AE">
        <w:t>27</w:t>
      </w:r>
      <w:r>
        <w:t xml:space="preserve">, </w:t>
      </w:r>
      <w:r w:rsidR="00D661AE">
        <w:t>2023</w:t>
      </w:r>
      <w:r>
        <w:t xml:space="preserve">, Delmarva’s submitted its </w:t>
      </w:r>
      <w:bookmarkStart w:id="1" w:name="_Hlk85027811"/>
      <w:r w:rsidR="00D661AE">
        <w:t xml:space="preserve">2023-2027 </w:t>
      </w:r>
      <w:r>
        <w:t xml:space="preserve">Proposed </w:t>
      </w:r>
      <w:r w:rsidR="00D661AE">
        <w:t xml:space="preserve">ISR </w:t>
      </w:r>
      <w:r>
        <w:t>Plan</w:t>
      </w:r>
      <w:r w:rsidR="00D661AE">
        <w:t xml:space="preserve"> (“Proposed Plan”)</w:t>
      </w:r>
      <w:r>
        <w:t xml:space="preserve"> </w:t>
      </w:r>
      <w:bookmarkEnd w:id="1"/>
      <w:r>
        <w:t>to Staff and the DPA; and</w:t>
      </w:r>
    </w:p>
    <w:p w14:paraId="0A7B0C24" w14:textId="25DEA186" w:rsidR="00283B3B" w:rsidRDefault="00283B3B" w:rsidP="00283B3B">
      <w:pPr>
        <w:pStyle w:val="TDWDblSp5Indent"/>
      </w:pPr>
      <w:r>
        <w:rPr>
          <w:b/>
          <w:bCs/>
        </w:rPr>
        <w:t>WHEREAS</w:t>
      </w:r>
      <w:r>
        <w:t xml:space="preserve">, during May through August </w:t>
      </w:r>
      <w:r w:rsidR="00D661AE">
        <w:t>2023</w:t>
      </w:r>
      <w:r>
        <w:t>, Delmarva</w:t>
      </w:r>
      <w:r w:rsidR="003E31B2" w:rsidDel="003E31B2">
        <w:t xml:space="preserve"> </w:t>
      </w:r>
      <w:r>
        <w:t xml:space="preserve">provided and responded to written data requests and participated in teleconferences </w:t>
      </w:r>
      <w:r w:rsidR="003E31B2">
        <w:t xml:space="preserve">with Staff and the DPA </w:t>
      </w:r>
      <w:r>
        <w:t>concerning the Proposed Plan</w:t>
      </w:r>
      <w:r w:rsidR="003E31B2">
        <w:t>;</w:t>
      </w:r>
      <w:r>
        <w:t xml:space="preserve"> and</w:t>
      </w:r>
    </w:p>
    <w:p w14:paraId="2D8D7C03" w14:textId="7A8F29B1" w:rsidR="00283B3B" w:rsidRDefault="00283B3B" w:rsidP="00283B3B">
      <w:pPr>
        <w:pStyle w:val="TDWDblSp5Indent"/>
      </w:pPr>
      <w:r>
        <w:rPr>
          <w:b/>
          <w:bCs/>
        </w:rPr>
        <w:t>WHEREAS</w:t>
      </w:r>
      <w:r>
        <w:t xml:space="preserve">, on August </w:t>
      </w:r>
      <w:r w:rsidR="00D661AE">
        <w:t>4</w:t>
      </w:r>
      <w:r>
        <w:t xml:space="preserve">, </w:t>
      </w:r>
      <w:r w:rsidR="00D661AE">
        <w:t>2023</w:t>
      </w:r>
      <w:r>
        <w:t xml:space="preserve">, </w:t>
      </w:r>
      <w:r w:rsidR="0026192D">
        <w:t>Delmarva</w:t>
      </w:r>
      <w:r>
        <w:t xml:space="preserve"> filed its </w:t>
      </w:r>
      <w:r w:rsidR="003E31B2">
        <w:t xml:space="preserve">final </w:t>
      </w:r>
      <w:r>
        <w:t>ISR Plan</w:t>
      </w:r>
      <w:r w:rsidR="00D661AE">
        <w:t xml:space="preserve"> (“ISR Plan”)</w:t>
      </w:r>
      <w:r>
        <w:t xml:space="preserve"> with the Commission; and</w:t>
      </w:r>
    </w:p>
    <w:p w14:paraId="2DD7F482" w14:textId="345776C7" w:rsidR="00CF5F62" w:rsidRPr="00CF5F62" w:rsidRDefault="00283B3B" w:rsidP="00CF5F62">
      <w:pPr>
        <w:pStyle w:val="TDWDblSp5Indent"/>
      </w:pPr>
      <w:r>
        <w:rPr>
          <w:b/>
          <w:bCs/>
        </w:rPr>
        <w:t>WHEREAS</w:t>
      </w:r>
      <w:r>
        <w:t xml:space="preserve">, on </w:t>
      </w:r>
      <w:r w:rsidR="00D661AE">
        <w:t>August 22</w:t>
      </w:r>
      <w:r>
        <w:t xml:space="preserve">, </w:t>
      </w:r>
      <w:r w:rsidR="00D661AE">
        <w:t>2023</w:t>
      </w:r>
      <w:r w:rsidR="003C34A2">
        <w:t>,</w:t>
      </w:r>
      <w:r>
        <w:t xml:space="preserve"> Staff and the DPA submitted Joint Comments regarding </w:t>
      </w:r>
      <w:r w:rsidR="0026192D">
        <w:t>Delmarva’s</w:t>
      </w:r>
      <w:r>
        <w:t xml:space="preserve"> ISR Plan, specifically noting</w:t>
      </w:r>
      <w:r w:rsidR="00CC272F">
        <w:t xml:space="preserve"> that</w:t>
      </w:r>
      <w:r>
        <w:t xml:space="preserve">: </w:t>
      </w:r>
      <w:r w:rsidR="0026192D" w:rsidRPr="00137EA5">
        <w:t>Delmarva</w:t>
      </w:r>
      <w:r w:rsidRPr="00137EA5">
        <w:t xml:space="preserve"> me</w:t>
      </w:r>
      <w:r w:rsidR="00734619" w:rsidRPr="00137EA5">
        <w:t xml:space="preserve">t </w:t>
      </w:r>
      <w:r w:rsidRPr="00137EA5">
        <w:t xml:space="preserve">the filing requirements of the Regulations and provided necessary data to perform a capital review of the proposed </w:t>
      </w:r>
      <w:r w:rsidR="00D661AE" w:rsidRPr="00137EA5">
        <w:t xml:space="preserve">2023 </w:t>
      </w:r>
      <w:r w:rsidRPr="00137EA5">
        <w:t xml:space="preserve">budget; </w:t>
      </w:r>
      <w:r w:rsidR="00734619" w:rsidRPr="00137EA5">
        <w:lastRenderedPageBreak/>
        <w:t>Delmarva staff</w:t>
      </w:r>
      <w:r w:rsidRPr="00137EA5">
        <w:t xml:space="preserve"> </w:t>
      </w:r>
      <w:r w:rsidR="003C34A2" w:rsidRPr="00137EA5">
        <w:t xml:space="preserve">communicated and </w:t>
      </w:r>
      <w:r w:rsidRPr="00137EA5">
        <w:t xml:space="preserve">worked together with Staff, DPA, and </w:t>
      </w:r>
      <w:r w:rsidR="008F74AF" w:rsidRPr="00137EA5">
        <w:t>their consultant</w:t>
      </w:r>
      <w:r w:rsidR="00EC574F" w:rsidRPr="00137EA5">
        <w:t xml:space="preserve"> to</w:t>
      </w:r>
      <w:r w:rsidRPr="00137EA5">
        <w:t xml:space="preserve"> resolve data requests; </w:t>
      </w:r>
      <w:r w:rsidR="00D661AE" w:rsidRPr="00137EA5">
        <w:t xml:space="preserve">Delmarva should work with Staff, the DPA, and Chesapeake Utilities Corporation to arrive at consistent interpretation of an unplanned outage; for large blanket project budgets, additional future variance analyses would benefit from understanding the </w:t>
      </w:r>
      <w:r w:rsidR="002D3224">
        <w:t xml:space="preserve">forecast and actual achieved </w:t>
      </w:r>
      <w:r w:rsidR="00D661AE" w:rsidRPr="00137EA5">
        <w:t xml:space="preserve">units of work in addition to the cost variance already provided; </w:t>
      </w:r>
      <w:r w:rsidR="00360C72" w:rsidRPr="00137EA5">
        <w:t xml:space="preserve">for future infrastructure replacement projects, Delmarva should consider including additional information for each project exceeding $1 million; Delmarva can reduce budget variances by following its stated budgeting processes; ongoing cost control measures should be monitored as the Wilmington LNG project proceeds; </w:t>
      </w:r>
      <w:r w:rsidR="00867B8D">
        <w:t xml:space="preserve">and </w:t>
      </w:r>
      <w:r w:rsidR="00360C72" w:rsidRPr="00137EA5">
        <w:t>Staff and the DPA would like to work with Delmarva to better understand</w:t>
      </w:r>
      <w:r w:rsidR="00BB3FB2">
        <w:t>: (1)</w:t>
      </w:r>
      <w:r w:rsidR="00360C72" w:rsidRPr="00137EA5">
        <w:t xml:space="preserve"> </w:t>
      </w:r>
      <w:r w:rsidR="00BB3FB2">
        <w:t>how projects are reforecast, added, or removed</w:t>
      </w:r>
      <w:r w:rsidR="00BB3FB2" w:rsidRPr="00137EA5">
        <w:t xml:space="preserve"> </w:t>
      </w:r>
      <w:r w:rsidR="00360C72" w:rsidRPr="00137EA5">
        <w:t xml:space="preserve">reforecasting, </w:t>
      </w:r>
      <w:r w:rsidR="00BB3FB2">
        <w:t xml:space="preserve">(2) the </w:t>
      </w:r>
      <w:r w:rsidR="00360C72" w:rsidRPr="00137EA5">
        <w:t xml:space="preserve">closed loop analysis process, and </w:t>
      </w:r>
      <w:r w:rsidR="00BB3FB2">
        <w:t xml:space="preserve">(3) the </w:t>
      </w:r>
      <w:r w:rsidR="00360C72" w:rsidRPr="00137EA5">
        <w:t>use of blanket accounts and budgeting processes</w:t>
      </w:r>
      <w:r w:rsidR="00BB3FB2">
        <w:t xml:space="preserve"> to improve accuracy of evaluating performance against plan</w:t>
      </w:r>
      <w:r w:rsidR="00360C72" w:rsidRPr="00137EA5">
        <w:t>.</w:t>
      </w:r>
    </w:p>
    <w:p w14:paraId="21420E7D" w14:textId="2F5EFCB3" w:rsidR="00283B3B" w:rsidRPr="00CF5F62" w:rsidRDefault="00283B3B" w:rsidP="00CF5F62">
      <w:pPr>
        <w:pStyle w:val="TDWDblSp5Indent"/>
        <w:rPr>
          <w:highlight w:val="yellow"/>
        </w:rPr>
      </w:pPr>
      <w:r w:rsidRPr="00CF5F62">
        <w:rPr>
          <w:b/>
          <w:bCs/>
        </w:rPr>
        <w:t>WHEREAS</w:t>
      </w:r>
      <w:r w:rsidRPr="00CF5F62">
        <w:t>,</w:t>
      </w:r>
      <w:r w:rsidR="00EC574F" w:rsidRPr="00CF5F62">
        <w:t xml:space="preserve"> on </w:t>
      </w:r>
      <w:r w:rsidR="00D661AE" w:rsidRPr="00CF5F62">
        <w:t>August 31</w:t>
      </w:r>
      <w:r w:rsidR="00EC574F" w:rsidRPr="00CF5F62">
        <w:t xml:space="preserve">, </w:t>
      </w:r>
      <w:r w:rsidR="00D661AE" w:rsidRPr="00CF5F62">
        <w:t>2023</w:t>
      </w:r>
      <w:r w:rsidR="00EC574F" w:rsidRPr="00CF5F62">
        <w:t xml:space="preserve">, </w:t>
      </w:r>
      <w:r w:rsidR="00EC574F" w:rsidRPr="00137EA5">
        <w:t>Delmarva</w:t>
      </w:r>
      <w:r w:rsidRPr="00137EA5">
        <w:t xml:space="preserve"> submit</w:t>
      </w:r>
      <w:r w:rsidR="00EC574F" w:rsidRPr="00137EA5">
        <w:t>ted</w:t>
      </w:r>
      <w:r w:rsidRPr="00137EA5">
        <w:t xml:space="preserve"> Reply Comments in response to </w:t>
      </w:r>
      <w:r w:rsidR="00DE0F49" w:rsidRPr="00137EA5">
        <w:t>the Joint</w:t>
      </w:r>
      <w:r w:rsidRPr="00137EA5">
        <w:t xml:space="preserve"> Comment</w:t>
      </w:r>
      <w:r w:rsidR="00EC574F" w:rsidRPr="00137EA5">
        <w:t xml:space="preserve">s, specifically noting: </w:t>
      </w:r>
      <w:r w:rsidR="00954EB3" w:rsidRPr="00137EA5">
        <w:t>the final ISR Plan</w:t>
      </w:r>
      <w:r w:rsidR="00EC574F" w:rsidRPr="00137EA5">
        <w:t xml:space="preserve"> </w:t>
      </w:r>
      <w:r w:rsidR="00954EB3" w:rsidRPr="00137EA5">
        <w:t xml:space="preserve">complied with the Regulations and that no further action is required by the </w:t>
      </w:r>
      <w:r w:rsidR="004D1D49" w:rsidRPr="00137EA5">
        <w:t xml:space="preserve">Commission; </w:t>
      </w:r>
      <w:r w:rsidR="009948E7" w:rsidRPr="00137EA5">
        <w:t xml:space="preserve">that for large blanket project budgets, Delmarva will include additional future variance analyses;  that Delmarva will consider including additional information for each infrastructure replacement project exceeding $1 million; that Delmarva has considered the recommendation for </w:t>
      </w:r>
      <w:r w:rsidR="00BB3FB2">
        <w:t xml:space="preserve">Asset Condition </w:t>
      </w:r>
      <w:r w:rsidR="009948E7" w:rsidRPr="00137EA5">
        <w:t>budget variances</w:t>
      </w:r>
      <w:r w:rsidR="002D3224">
        <w:t>,</w:t>
      </w:r>
      <w:r w:rsidR="009948E7" w:rsidRPr="00137EA5">
        <w:t xml:space="preserve"> but that the Asset Condition budget is small budget and </w:t>
      </w:r>
      <w:r w:rsidR="00BB3FB2">
        <w:t xml:space="preserve">the </w:t>
      </w:r>
      <w:r w:rsidR="009948E7" w:rsidRPr="00137EA5">
        <w:t xml:space="preserve">small amount of variances </w:t>
      </w:r>
      <w:r w:rsidR="00BB3FB2">
        <w:t xml:space="preserve">does not </w:t>
      </w:r>
      <w:r w:rsidR="009948E7" w:rsidRPr="00137EA5">
        <w:t>justif</w:t>
      </w:r>
      <w:r w:rsidR="00BB3FB2">
        <w:t>y</w:t>
      </w:r>
      <w:r w:rsidR="009948E7" w:rsidRPr="00137EA5">
        <w:t xml:space="preserve"> additional expenditure</w:t>
      </w:r>
      <w:r w:rsidR="00BB3FB2">
        <w:t xml:space="preserve"> of labor and resources</w:t>
      </w:r>
      <w:r w:rsidR="009948E7" w:rsidRPr="00137EA5">
        <w:t xml:space="preserve">; that </w:t>
      </w:r>
      <w:r w:rsidR="00CF5F62" w:rsidRPr="00137EA5">
        <w:t>Delmarva</w:t>
      </w:r>
      <w:r w:rsidR="009948E7" w:rsidRPr="00137EA5">
        <w:t xml:space="preserve"> is willing to convene with Staff and the DPA to discuss Wilmington LNG </w:t>
      </w:r>
      <w:r w:rsidR="00CF5F62" w:rsidRPr="00137EA5">
        <w:t xml:space="preserve">Project cost control measures; that Delmarva is amenable to convening a meeting with Staff and the DPA to discuss </w:t>
      </w:r>
      <w:r w:rsidR="00BB3FB2">
        <w:t>how projects are r</w:t>
      </w:r>
      <w:r w:rsidR="00CF5F62" w:rsidRPr="00137EA5">
        <w:t>eforecast</w:t>
      </w:r>
      <w:r w:rsidR="00BB3FB2">
        <w:t>, added, or removed</w:t>
      </w:r>
      <w:r w:rsidR="00CF5F62" w:rsidRPr="00137EA5">
        <w:t xml:space="preserve">, </w:t>
      </w:r>
      <w:r w:rsidR="00BB3FB2">
        <w:t xml:space="preserve">the </w:t>
      </w:r>
      <w:r w:rsidR="00CF5F62" w:rsidRPr="00137EA5">
        <w:t xml:space="preserve">closed loop analysis process, and </w:t>
      </w:r>
      <w:r w:rsidR="00BB3FB2">
        <w:t xml:space="preserve">the </w:t>
      </w:r>
      <w:r w:rsidR="00CF5F62" w:rsidRPr="00137EA5">
        <w:t xml:space="preserve">use of blanket accounts and budgeting processes; and that </w:t>
      </w:r>
      <w:r w:rsidR="00CF5F62" w:rsidRPr="00137EA5">
        <w:lastRenderedPageBreak/>
        <w:t>the Company will review its 2021 and 2022 annual reliability performance reports and by September 30, 2023, will refile those reports as needed to reflect Staff</w:t>
      </w:r>
      <w:r w:rsidR="004B0A6C">
        <w:t xml:space="preserve"> and</w:t>
      </w:r>
      <w:r w:rsidR="00CF5F62" w:rsidRPr="00137EA5">
        <w:t xml:space="preserve"> the DPA</w:t>
      </w:r>
      <w:r w:rsidR="004B0A6C">
        <w:t>’s</w:t>
      </w:r>
      <w:r w:rsidR="00CF5F62" w:rsidRPr="00137EA5">
        <w:t xml:space="preserve"> interpretation of an unplanned outage versus planned outage</w:t>
      </w:r>
      <w:r w:rsidR="004500D5">
        <w:t>;</w:t>
      </w:r>
    </w:p>
    <w:p w14:paraId="7E329E8C" w14:textId="77777777" w:rsidR="00283B3B" w:rsidRDefault="00283B3B" w:rsidP="00283B3B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NOW, THEREFORE, IT IS HEREBY ORDERED BY THE AFFIRMATIVE </w:t>
      </w:r>
    </w:p>
    <w:p w14:paraId="76F94DD7" w14:textId="77777777" w:rsidR="00283B3B" w:rsidRDefault="00283B3B" w:rsidP="00283B3B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VOTE OF NOT FEWER THAN THREE COMMISSIONERS:</w:t>
      </w:r>
    </w:p>
    <w:p w14:paraId="552C25C5" w14:textId="77777777" w:rsidR="00283B3B" w:rsidRDefault="00283B3B" w:rsidP="00283B3B">
      <w:pPr>
        <w:pStyle w:val="TDWDblSp5Indent"/>
        <w:spacing w:line="240" w:lineRule="auto"/>
        <w:ind w:firstLine="0"/>
      </w:pPr>
    </w:p>
    <w:p w14:paraId="19B1C95D" w14:textId="2724D723" w:rsidR="00283B3B" w:rsidRDefault="00283B3B" w:rsidP="00283B3B">
      <w:pPr>
        <w:pStyle w:val="TDWDblSp5Indent"/>
      </w:pPr>
      <w:r>
        <w:t>1.</w:t>
      </w:r>
      <w:r>
        <w:tab/>
        <w:t xml:space="preserve">Pursuant to 26 </w:t>
      </w:r>
      <w:r>
        <w:rPr>
          <w:i/>
          <w:iCs/>
        </w:rPr>
        <w:t>Del. Admin. C</w:t>
      </w:r>
      <w:r>
        <w:t xml:space="preserve">. § 8003-7.5, the Commission hereby acknowledges that </w:t>
      </w:r>
      <w:r w:rsidR="00DE0F49">
        <w:t>Delmarva’s</w:t>
      </w:r>
      <w:r>
        <w:t xml:space="preserve"> </w:t>
      </w:r>
      <w:r w:rsidR="00D661AE">
        <w:t xml:space="preserve">2023-2027 </w:t>
      </w:r>
      <w:r>
        <w:t xml:space="preserve">Gas ISR Plan, together with any associated comments, has been filed and is consistent with the Regulations; provided however, that the Commission’s acknowledgement shall not constitute Commission pre-approval of any proposed capital spending necessary to maintain the reliability and quality of </w:t>
      </w:r>
      <w:r w:rsidR="00DE0F49">
        <w:t>Delmarva’s</w:t>
      </w:r>
      <w:r>
        <w:t xml:space="preserve"> distribution services.</w:t>
      </w:r>
    </w:p>
    <w:p w14:paraId="5486C39C" w14:textId="263796CE" w:rsidR="00283B3B" w:rsidRDefault="00283B3B" w:rsidP="00283B3B">
      <w:pPr>
        <w:pStyle w:val="TDWDblSp5Indent"/>
      </w:pPr>
      <w:r>
        <w:t>2.</w:t>
      </w:r>
      <w:r>
        <w:tab/>
        <w:t xml:space="preserve">In accordance with 26 </w:t>
      </w:r>
      <w:r>
        <w:rPr>
          <w:i/>
          <w:iCs/>
        </w:rPr>
        <w:t>Del. Admin. C</w:t>
      </w:r>
      <w:r>
        <w:t xml:space="preserve">. § 8003-7.6, any party may challenge </w:t>
      </w:r>
      <w:r w:rsidR="00DE0F49">
        <w:t>Delmarva’s</w:t>
      </w:r>
      <w:r>
        <w:t xml:space="preserve"> attempt to recover the amounts spent on its distribution system and services in a future rate case.</w:t>
      </w:r>
    </w:p>
    <w:p w14:paraId="374A36EB" w14:textId="7F59D487" w:rsidR="00283B3B" w:rsidRDefault="00283B3B" w:rsidP="00DE0F49">
      <w:pPr>
        <w:pStyle w:val="TDWDblSp5Indent"/>
      </w:pPr>
      <w:r>
        <w:t>3.</w:t>
      </w:r>
      <w:r>
        <w:tab/>
        <w:t>The Commission reserves the jurisdiction and authority to enter such further Orders in this matter as may be deemed necessary or proper.</w:t>
      </w:r>
    </w:p>
    <w:p w14:paraId="164E2BBD" w14:textId="315127AA" w:rsidR="00CF5F62" w:rsidRDefault="00283B3B" w:rsidP="00CF5F62">
      <w:pPr>
        <w:pStyle w:val="NoSpacing"/>
        <w:ind w:left="3600" w:firstLine="720"/>
        <w:rPr>
          <w:b/>
          <w:bCs/>
        </w:rPr>
      </w:pPr>
      <w:r>
        <w:rPr>
          <w:b/>
          <w:bCs/>
        </w:rPr>
        <w:t>BY ORDER OF THE COMMISSION:</w:t>
      </w:r>
    </w:p>
    <w:p w14:paraId="38C234D6" w14:textId="77777777" w:rsidR="00283B3B" w:rsidRDefault="00283B3B" w:rsidP="00137EA5">
      <w:pPr>
        <w:spacing w:after="0"/>
        <w:ind w:left="3600" w:firstLine="720"/>
      </w:pPr>
    </w:p>
    <w:p w14:paraId="0D71C2C6" w14:textId="77777777" w:rsidR="00283B3B" w:rsidRDefault="00283B3B" w:rsidP="00283B3B">
      <w:pPr>
        <w:pStyle w:val="ListParagraph"/>
        <w:kinsoku w:val="0"/>
        <w:overflowPunct w:val="0"/>
        <w:spacing w:before="7" w:after="0"/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49CEEA" w14:textId="77777777" w:rsidR="00283B3B" w:rsidRDefault="00283B3B" w:rsidP="00283B3B">
      <w:pPr>
        <w:spacing w:after="0"/>
        <w:ind w:left="3600" w:firstLine="720"/>
      </w:pPr>
      <w:r>
        <w:t>____________________________________</w:t>
      </w:r>
    </w:p>
    <w:p w14:paraId="0A93CE90" w14:textId="77777777" w:rsidR="00283B3B" w:rsidRDefault="00283B3B" w:rsidP="00283B3B">
      <w:pPr>
        <w:spacing w:after="0"/>
        <w:ind w:left="3600" w:firstLine="720"/>
        <w:jc w:val="both"/>
      </w:pPr>
      <w:r>
        <w:t>Dallas Winslow, Chairman</w:t>
      </w:r>
    </w:p>
    <w:p w14:paraId="63681ED6" w14:textId="56FEAAE0" w:rsidR="00283B3B" w:rsidRDefault="00283B3B" w:rsidP="00283B3B">
      <w:pPr>
        <w:spacing w:after="0"/>
      </w:pPr>
    </w:p>
    <w:p w14:paraId="02EE2B1F" w14:textId="77777777" w:rsidR="00CF5F62" w:rsidRDefault="00CF5F62" w:rsidP="00283B3B">
      <w:pPr>
        <w:spacing w:after="0"/>
      </w:pPr>
    </w:p>
    <w:p w14:paraId="2C73DE3F" w14:textId="116B789B" w:rsidR="00283B3B" w:rsidRDefault="00283B3B" w:rsidP="00137EA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CF5F62">
        <w:tab/>
      </w:r>
      <w:r>
        <w:t>____________________________________</w:t>
      </w:r>
    </w:p>
    <w:p w14:paraId="52260362" w14:textId="62FE8F99" w:rsidR="00283B3B" w:rsidRDefault="00283B3B" w:rsidP="00CF5F62">
      <w:pPr>
        <w:spacing w:after="0"/>
        <w:ind w:left="3600" w:firstLine="720"/>
        <w:jc w:val="both"/>
      </w:pPr>
      <w:r>
        <w:t>Joann Conaway, Commissioner</w:t>
      </w:r>
    </w:p>
    <w:p w14:paraId="175CADEE" w14:textId="690FC234" w:rsidR="00283B3B" w:rsidRDefault="00283B3B" w:rsidP="00283B3B">
      <w:pPr>
        <w:spacing w:after="0"/>
        <w:ind w:left="3600" w:firstLine="720"/>
        <w:jc w:val="both"/>
      </w:pPr>
    </w:p>
    <w:p w14:paraId="1C9A2254" w14:textId="77777777" w:rsidR="00CF5F62" w:rsidRDefault="00CF5F62" w:rsidP="00283B3B">
      <w:pPr>
        <w:spacing w:after="0"/>
        <w:ind w:left="3600" w:firstLine="720"/>
        <w:jc w:val="both"/>
      </w:pPr>
    </w:p>
    <w:p w14:paraId="59894971" w14:textId="77777777" w:rsidR="00283B3B" w:rsidRDefault="00283B3B" w:rsidP="00283B3B">
      <w:pPr>
        <w:spacing w:after="0"/>
        <w:ind w:left="3600" w:firstLine="720"/>
      </w:pPr>
      <w:r>
        <w:t>____________________________________</w:t>
      </w:r>
    </w:p>
    <w:p w14:paraId="03200A4F" w14:textId="766E4969" w:rsidR="00283B3B" w:rsidRDefault="00283B3B" w:rsidP="00137EA5">
      <w:pPr>
        <w:spacing w:after="0"/>
        <w:ind w:left="3600" w:firstLine="720"/>
        <w:jc w:val="both"/>
      </w:pPr>
      <w:r>
        <w:t xml:space="preserve">Harold </w:t>
      </w:r>
      <w:r w:rsidR="00BF6C84">
        <w:t xml:space="preserve">B. </w:t>
      </w:r>
      <w:r>
        <w:t>Gray, Commissione</w:t>
      </w:r>
      <w:r w:rsidR="00CF5F62">
        <w:t>r</w:t>
      </w:r>
    </w:p>
    <w:p w14:paraId="78BC961A" w14:textId="77777777" w:rsidR="00CF5F62" w:rsidRDefault="00283B3B" w:rsidP="00283B3B">
      <w:pPr>
        <w:spacing w:after="0"/>
        <w:ind w:left="3600" w:firstLine="720"/>
      </w:pPr>
      <w:r>
        <w:tab/>
      </w:r>
    </w:p>
    <w:p w14:paraId="59C3B63C" w14:textId="77777777" w:rsidR="00BF6C84" w:rsidRDefault="00283B3B" w:rsidP="00283B3B">
      <w:pPr>
        <w:spacing w:after="0"/>
        <w:ind w:left="3600" w:firstLine="720"/>
      </w:pPr>
      <w:r>
        <w:tab/>
      </w:r>
      <w:r>
        <w:tab/>
      </w:r>
      <w:r>
        <w:tab/>
      </w:r>
      <w:r>
        <w:tab/>
      </w:r>
      <w:r>
        <w:tab/>
      </w:r>
    </w:p>
    <w:p w14:paraId="4201DD76" w14:textId="77777777" w:rsidR="00BF6C84" w:rsidRDefault="00BF6C84" w:rsidP="00283B3B">
      <w:pPr>
        <w:spacing w:after="0"/>
        <w:ind w:left="3600" w:firstLine="720"/>
      </w:pPr>
    </w:p>
    <w:p w14:paraId="7F38305F" w14:textId="514E4034" w:rsidR="00283B3B" w:rsidRDefault="00283B3B" w:rsidP="00283B3B">
      <w:pPr>
        <w:spacing w:after="0"/>
        <w:ind w:left="3600" w:firstLine="720"/>
      </w:pPr>
      <w:r>
        <w:lastRenderedPageBreak/>
        <w:t>____________________________________</w:t>
      </w:r>
    </w:p>
    <w:p w14:paraId="29A49BC7" w14:textId="36476528" w:rsidR="00283B3B" w:rsidRDefault="00283B3B" w:rsidP="00283B3B">
      <w:pPr>
        <w:spacing w:after="0"/>
        <w:ind w:left="3600" w:firstLine="720"/>
        <w:jc w:val="both"/>
      </w:pPr>
      <w:r>
        <w:t>Manubhai</w:t>
      </w:r>
      <w:r w:rsidR="00BF6C84">
        <w:t xml:space="preserve"> </w:t>
      </w:r>
      <w:r>
        <w:t xml:space="preserve"> Karia, Commissioner</w:t>
      </w:r>
    </w:p>
    <w:p w14:paraId="2A20B78C" w14:textId="77777777" w:rsidR="00283B3B" w:rsidRDefault="00283B3B" w:rsidP="00283B3B">
      <w:pPr>
        <w:spacing w:after="0"/>
      </w:pPr>
    </w:p>
    <w:p w14:paraId="442E365F" w14:textId="77777777" w:rsidR="00283B3B" w:rsidRDefault="00283B3B" w:rsidP="00283B3B">
      <w:pPr>
        <w:spacing w:after="0"/>
        <w:ind w:left="720" w:firstLine="720"/>
      </w:pPr>
      <w:r>
        <w:tab/>
      </w:r>
      <w:r>
        <w:tab/>
      </w:r>
      <w:r>
        <w:tab/>
      </w:r>
      <w:r>
        <w:tab/>
        <w:t>____________________________________</w:t>
      </w:r>
    </w:p>
    <w:p w14:paraId="3BE8C369" w14:textId="6C008911" w:rsidR="00283B3B" w:rsidRDefault="00283B3B" w:rsidP="00283B3B">
      <w:pPr>
        <w:spacing w:after="0"/>
        <w:rPr>
          <w:color w:val="2222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222222"/>
        </w:rPr>
        <w:t>K</w:t>
      </w:r>
      <w:r w:rsidR="00BF6C84">
        <w:rPr>
          <w:color w:val="222222"/>
        </w:rPr>
        <w:t>. F.</w:t>
      </w:r>
      <w:r>
        <w:rPr>
          <w:color w:val="222222"/>
        </w:rPr>
        <w:t xml:space="preserve"> Drexler, Commissioner</w:t>
      </w:r>
    </w:p>
    <w:p w14:paraId="6B9D785F" w14:textId="77777777" w:rsidR="00283B3B" w:rsidRDefault="00283B3B" w:rsidP="00283B3B">
      <w:pPr>
        <w:spacing w:after="0"/>
      </w:pPr>
    </w:p>
    <w:p w14:paraId="131FBD90" w14:textId="77777777" w:rsidR="00283B3B" w:rsidRDefault="00283B3B" w:rsidP="00283B3B">
      <w:pPr>
        <w:spacing w:after="0"/>
        <w:ind w:left="4320" w:hanging="4320"/>
      </w:pPr>
    </w:p>
    <w:p w14:paraId="43B80A44" w14:textId="77777777" w:rsidR="00283B3B" w:rsidRDefault="00283B3B" w:rsidP="00283B3B">
      <w:pPr>
        <w:spacing w:after="0"/>
        <w:ind w:left="4320" w:hanging="4320"/>
      </w:pPr>
    </w:p>
    <w:p w14:paraId="5C40604D" w14:textId="7E62EB16" w:rsidR="00283B3B" w:rsidRDefault="00283B3B" w:rsidP="00CF5F62">
      <w:pPr>
        <w:spacing w:after="0"/>
        <w:ind w:left="4320" w:hanging="4320"/>
      </w:pPr>
      <w:r>
        <w:rPr>
          <w:b/>
          <w:bCs/>
        </w:rPr>
        <w:t>ATTEST</w:t>
      </w:r>
      <w:r>
        <w:t>:</w:t>
      </w:r>
    </w:p>
    <w:p w14:paraId="2CBB447D" w14:textId="77777777" w:rsidR="00283B3B" w:rsidRDefault="00283B3B" w:rsidP="00283B3B">
      <w:pPr>
        <w:spacing w:after="0"/>
        <w:ind w:left="4320" w:hanging="4320"/>
      </w:pPr>
    </w:p>
    <w:p w14:paraId="273F3312" w14:textId="039F02B4" w:rsidR="00283B3B" w:rsidRDefault="00DE0F49" w:rsidP="00283B3B">
      <w:pPr>
        <w:spacing w:after="0"/>
        <w:rPr>
          <w:u w:val="single"/>
        </w:rPr>
      </w:pPr>
      <w:bookmarkStart w:id="2" w:name="_Hlk66274458"/>
      <w:r>
        <w:t>_______________________________</w:t>
      </w:r>
    </w:p>
    <w:p w14:paraId="3E971434" w14:textId="5CD01090" w:rsidR="00283B3B" w:rsidRDefault="00D661AE" w:rsidP="00283B3B">
      <w:pPr>
        <w:spacing w:after="0"/>
        <w:ind w:left="4320" w:hanging="4320"/>
      </w:pPr>
      <w:r>
        <w:t>Crystal Beenick</w:t>
      </w:r>
      <w:r w:rsidR="00283B3B">
        <w:t>, Secretary</w:t>
      </w:r>
    </w:p>
    <w:bookmarkEnd w:id="2"/>
    <w:p w14:paraId="44EEE07D" w14:textId="77777777" w:rsidR="00283B3B" w:rsidRDefault="00283B3B" w:rsidP="00283B3B"/>
    <w:p w14:paraId="0D787EEF" w14:textId="77777777" w:rsidR="00B936FA" w:rsidRDefault="00B936FA"/>
    <w:sectPr w:rsidR="00B936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9D09" w14:textId="77777777" w:rsidR="00283B3B" w:rsidRDefault="00283B3B" w:rsidP="00283B3B">
      <w:pPr>
        <w:spacing w:after="0" w:line="240" w:lineRule="auto"/>
      </w:pPr>
      <w:r>
        <w:separator/>
      </w:r>
    </w:p>
  </w:endnote>
  <w:endnote w:type="continuationSeparator" w:id="0">
    <w:p w14:paraId="330CAC92" w14:textId="77777777" w:rsidR="00283B3B" w:rsidRDefault="00283B3B" w:rsidP="0028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187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02513" w14:textId="73B7CEF1" w:rsidR="003C34A2" w:rsidRDefault="003C34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37E1AC" w14:textId="77777777" w:rsidR="003C34A2" w:rsidRDefault="003C3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2F77" w14:textId="77777777" w:rsidR="00283B3B" w:rsidRDefault="00283B3B" w:rsidP="00283B3B">
      <w:pPr>
        <w:spacing w:after="0" w:line="240" w:lineRule="auto"/>
      </w:pPr>
      <w:r>
        <w:separator/>
      </w:r>
    </w:p>
  </w:footnote>
  <w:footnote w:type="continuationSeparator" w:id="0">
    <w:p w14:paraId="071505BC" w14:textId="77777777" w:rsidR="00283B3B" w:rsidRDefault="00283B3B" w:rsidP="00283B3B">
      <w:pPr>
        <w:spacing w:after="0" w:line="240" w:lineRule="auto"/>
      </w:pPr>
      <w:r>
        <w:continuationSeparator/>
      </w:r>
    </w:p>
  </w:footnote>
  <w:footnote w:id="1">
    <w:p w14:paraId="1B26EDD5" w14:textId="77777777" w:rsidR="00283B3B" w:rsidRPr="003C34A2" w:rsidRDefault="00283B3B" w:rsidP="00283B3B">
      <w:pPr>
        <w:pStyle w:val="FootnoteText"/>
      </w:pPr>
      <w:r w:rsidRPr="003C34A2">
        <w:rPr>
          <w:rStyle w:val="FootnoteReference"/>
        </w:rPr>
        <w:footnoteRef/>
      </w:r>
      <w:r w:rsidRPr="003C34A2">
        <w:t xml:space="preserve"> Unless stated otherwise, all citations to the Regulations in this Order exclude “8003.” </w:t>
      </w:r>
    </w:p>
  </w:footnote>
  <w:footnote w:id="2">
    <w:p w14:paraId="3F7ED6BA" w14:textId="77777777" w:rsidR="00283B3B" w:rsidRDefault="00283B3B" w:rsidP="00283B3B">
      <w:pPr>
        <w:pStyle w:val="FootnoteText"/>
      </w:pPr>
      <w:r w:rsidRPr="003C34A2">
        <w:rPr>
          <w:rStyle w:val="FootnoteReference"/>
        </w:rPr>
        <w:footnoteRef/>
      </w:r>
      <w:r w:rsidRPr="003C34A2">
        <w:t xml:space="preserve"> Gas Distribution Company. Unless otherwise noted, capitalized terms shall have the meanings ascribed to them in the Regulations.</w:t>
      </w:r>
    </w:p>
  </w:footnote>
  <w:footnote w:id="3">
    <w:p w14:paraId="000068F4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 6.4.1</w:t>
      </w:r>
    </w:p>
  </w:footnote>
  <w:footnote w:id="4">
    <w:p w14:paraId="2AC701C7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 6.4.2.</w:t>
      </w:r>
    </w:p>
  </w:footnote>
  <w:footnote w:id="5">
    <w:p w14:paraId="2F9BFE6C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 6.4.3.</w:t>
      </w:r>
    </w:p>
  </w:footnote>
  <w:footnote w:id="6">
    <w:p w14:paraId="0E7C2F4F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Sections 6.1.</w:t>
      </w:r>
    </w:p>
  </w:footnote>
  <w:footnote w:id="7">
    <w:p w14:paraId="4D2F9468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 7.1.</w:t>
      </w:r>
    </w:p>
  </w:footnote>
  <w:footnote w:id="8">
    <w:p w14:paraId="355D4827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 7.3.</w:t>
      </w:r>
    </w:p>
  </w:footnote>
  <w:footnote w:id="9">
    <w:p w14:paraId="56A5C8FF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 7.4. </w:t>
      </w:r>
    </w:p>
  </w:footnote>
  <w:footnote w:id="10">
    <w:p w14:paraId="311CCDC2" w14:textId="77777777" w:rsidR="00283B3B" w:rsidRDefault="00283B3B" w:rsidP="00283B3B">
      <w:pPr>
        <w:pStyle w:val="FootnoteText"/>
      </w:pPr>
      <w:r>
        <w:rPr>
          <w:rStyle w:val="FootnoteReference"/>
        </w:rPr>
        <w:footnoteRef/>
      </w:r>
      <w:r>
        <w:t xml:space="preserve"> Section 7.2.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3B"/>
    <w:rsid w:val="00090B94"/>
    <w:rsid w:val="00137EA5"/>
    <w:rsid w:val="0026192D"/>
    <w:rsid w:val="00283B3B"/>
    <w:rsid w:val="002D3224"/>
    <w:rsid w:val="00360C72"/>
    <w:rsid w:val="00382FC1"/>
    <w:rsid w:val="003C34A2"/>
    <w:rsid w:val="003E31B2"/>
    <w:rsid w:val="004153BB"/>
    <w:rsid w:val="004500D5"/>
    <w:rsid w:val="00463E07"/>
    <w:rsid w:val="004B0A6C"/>
    <w:rsid w:val="004D1D49"/>
    <w:rsid w:val="00652FE2"/>
    <w:rsid w:val="00716CEE"/>
    <w:rsid w:val="00734619"/>
    <w:rsid w:val="00804E36"/>
    <w:rsid w:val="00857B95"/>
    <w:rsid w:val="00867B8D"/>
    <w:rsid w:val="00886A91"/>
    <w:rsid w:val="008F74AF"/>
    <w:rsid w:val="00954EB3"/>
    <w:rsid w:val="009948E7"/>
    <w:rsid w:val="00B936FA"/>
    <w:rsid w:val="00BB3FB2"/>
    <w:rsid w:val="00BF6C84"/>
    <w:rsid w:val="00C62673"/>
    <w:rsid w:val="00CC272F"/>
    <w:rsid w:val="00CF5F62"/>
    <w:rsid w:val="00D14EA3"/>
    <w:rsid w:val="00D661AE"/>
    <w:rsid w:val="00DD0B1C"/>
    <w:rsid w:val="00DE0F49"/>
    <w:rsid w:val="00EC574F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6F6B"/>
  <w15:chartTrackingRefBased/>
  <w15:docId w15:val="{4D3EB220-8FAF-4650-A694-8E560926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3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83B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B3B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aliases w:val="TDW Single Justified"/>
    <w:uiPriority w:val="1"/>
    <w:qFormat/>
    <w:rsid w:val="00283B3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3B3B"/>
    <w:pPr>
      <w:ind w:left="720"/>
      <w:contextualSpacing/>
    </w:pPr>
  </w:style>
  <w:style w:type="paragraph" w:customStyle="1" w:styleId="TDWDblSp5Indent">
    <w:name w:val="TDW Dbl. Sp. .5 Indent"/>
    <w:basedOn w:val="Normal"/>
    <w:qFormat/>
    <w:rsid w:val="00283B3B"/>
    <w:pPr>
      <w:spacing w:after="0" w:line="480" w:lineRule="auto"/>
      <w:ind w:firstLine="720"/>
      <w:jc w:val="both"/>
    </w:pPr>
  </w:style>
  <w:style w:type="character" w:styleId="FootnoteReference">
    <w:name w:val="footnote reference"/>
    <w:basedOn w:val="DefaultParagraphFont"/>
    <w:uiPriority w:val="99"/>
    <w:semiHidden/>
    <w:unhideWhenUsed/>
    <w:rsid w:val="00283B3B"/>
    <w:rPr>
      <w:vertAlign w:val="superscript"/>
    </w:rPr>
  </w:style>
  <w:style w:type="character" w:customStyle="1" w:styleId="labelcasedetails">
    <w:name w:val="labelcasedetails"/>
    <w:basedOn w:val="DefaultParagraphFont"/>
    <w:rsid w:val="00283B3B"/>
  </w:style>
  <w:style w:type="paragraph" w:customStyle="1" w:styleId="Default">
    <w:name w:val="Default"/>
    <w:rsid w:val="004D1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3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A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A2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661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3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22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22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7CFE-C616-410C-B7E9-232263C8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964</Words>
  <Characters>5498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Sommer (DOJ)</dc:creator>
  <cp:keywords/>
  <dc:description/>
  <cp:lastModifiedBy>Steele, Naomi (DOS)</cp:lastModifiedBy>
  <cp:revision>2</cp:revision>
  <dcterms:created xsi:type="dcterms:W3CDTF">2023-09-06T19:40:00Z</dcterms:created>
  <dcterms:modified xsi:type="dcterms:W3CDTF">2023-09-06T19:40:00Z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2023-09-06T18:41:38Z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d846346b-1115-48f2-8074-3252f3d65aa0</vt:lpwstr>
  </property>
  <property fmtid="{D5CDD505-2E9C-101B-9397-08002B2CF9AE}" pid="8" name="MSIP_Label_c968b3d1-e05f-4796-9c23-acaf26d588cb_ContentBits">
    <vt:lpwstr>0</vt:lpwstr>
  </property>
</Properties>
</file>