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2BFD" w14:textId="5451F53C" w:rsidR="00731361" w:rsidRDefault="00731361" w:rsidP="00731361">
      <w:pPr>
        <w:widowControl w:val="0"/>
        <w:jc w:val="center"/>
        <w:rPr>
          <w:rFonts w:eastAsia="Times New Roman" w:cs="Times New Roman"/>
          <w:b/>
          <w:bCs/>
          <w:snapToGrid w:val="0"/>
          <w:szCs w:val="24"/>
        </w:rPr>
      </w:pPr>
      <w:r w:rsidRPr="0039161E">
        <w:rPr>
          <w:rFonts w:eastAsia="Times New Roman" w:cs="Times New Roman"/>
          <w:b/>
          <w:bCs/>
          <w:snapToGrid w:val="0"/>
          <w:szCs w:val="24"/>
        </w:rPr>
        <w:t>BEFORE THE PUBLIC SERVICE COMMISSION</w:t>
      </w:r>
    </w:p>
    <w:p w14:paraId="6739F28F" w14:textId="77777777" w:rsidR="00B0480C" w:rsidRPr="0039161E" w:rsidRDefault="00B0480C" w:rsidP="00731361">
      <w:pPr>
        <w:widowControl w:val="0"/>
        <w:jc w:val="center"/>
        <w:rPr>
          <w:rFonts w:eastAsia="Times New Roman" w:cs="Times New Roman"/>
          <w:b/>
          <w:bCs/>
          <w:snapToGrid w:val="0"/>
          <w:szCs w:val="24"/>
        </w:rPr>
      </w:pPr>
    </w:p>
    <w:p w14:paraId="6A6D44B3" w14:textId="77777777" w:rsidR="00731361" w:rsidRPr="0039161E" w:rsidRDefault="00731361" w:rsidP="00731361">
      <w:pPr>
        <w:tabs>
          <w:tab w:val="center" w:pos="4680"/>
        </w:tabs>
        <w:rPr>
          <w:rFonts w:eastAsia="Calibri" w:cs="Times New Roman"/>
          <w:b/>
          <w:szCs w:val="24"/>
        </w:rPr>
      </w:pPr>
      <w:r w:rsidRPr="0039161E">
        <w:rPr>
          <w:rFonts w:eastAsia="Calibri" w:cs="Times New Roman"/>
          <w:b/>
          <w:szCs w:val="24"/>
        </w:rPr>
        <w:tab/>
        <w:t>OF THE STATE OF DELAWARE</w:t>
      </w:r>
    </w:p>
    <w:p w14:paraId="7CF18547" w14:textId="77777777" w:rsidR="00731361" w:rsidRDefault="00731361" w:rsidP="00731361">
      <w:pPr>
        <w:rPr>
          <w:rFonts w:ascii="Courier New" w:eastAsia="Calibri" w:hAnsi="Courier New" w:cs="Courier New"/>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45"/>
        <w:gridCol w:w="3971"/>
      </w:tblGrid>
      <w:tr w:rsidR="00624DCE" w14:paraId="5F2E0927" w14:textId="77777777" w:rsidTr="007B2064">
        <w:tc>
          <w:tcPr>
            <w:tcW w:w="5058" w:type="dxa"/>
          </w:tcPr>
          <w:p w14:paraId="54838BD6" w14:textId="77777777" w:rsidR="00941874" w:rsidRPr="00941874" w:rsidRDefault="00624DCE" w:rsidP="00941874">
            <w:pPr>
              <w:rPr>
                <w:rFonts w:eastAsia="Times New Roman" w:cs="Times New Roman"/>
                <w:bCs/>
                <w:szCs w:val="24"/>
              </w:rPr>
            </w:pPr>
            <w:r w:rsidRPr="00624DCE">
              <w:rPr>
                <w:rFonts w:eastAsia="Calibri" w:cs="Times New Roman"/>
                <w:szCs w:val="24"/>
              </w:rPr>
              <w:t>IN THE MATTER OF THE NOTICE OF</w:t>
            </w:r>
            <w:r w:rsidRPr="00624DCE">
              <w:rPr>
                <w:rFonts w:cs="Times New Roman"/>
                <w:szCs w:val="24"/>
              </w:rPr>
              <w:t xml:space="preserve"> </w:t>
            </w:r>
            <w:r w:rsidRPr="00624DCE">
              <w:rPr>
                <w:rFonts w:eastAsia="Calibri" w:cs="Times New Roman"/>
                <w:szCs w:val="24"/>
              </w:rPr>
              <w:t xml:space="preserve">POTENTIAL VIOLATIONS OF 26 </w:t>
            </w:r>
            <w:r w:rsidRPr="00B0480C">
              <w:rPr>
                <w:rFonts w:eastAsia="Calibri" w:cs="Times New Roman"/>
                <w:i/>
                <w:iCs/>
                <w:szCs w:val="24"/>
              </w:rPr>
              <w:t>DEL</w:t>
            </w:r>
            <w:r w:rsidRPr="00624DCE">
              <w:rPr>
                <w:rFonts w:eastAsia="Calibri" w:cs="Times New Roman"/>
                <w:szCs w:val="24"/>
              </w:rPr>
              <w:t xml:space="preserve">. </w:t>
            </w:r>
            <w:r w:rsidRPr="00B0480C">
              <w:rPr>
                <w:rFonts w:eastAsia="Calibri" w:cs="Times New Roman"/>
                <w:i/>
                <w:iCs/>
                <w:szCs w:val="24"/>
              </w:rPr>
              <w:t>ADMIN.</w:t>
            </w:r>
            <w:r w:rsidRPr="00B0480C">
              <w:rPr>
                <w:rFonts w:cs="Times New Roman"/>
                <w:i/>
                <w:iCs/>
                <w:szCs w:val="24"/>
              </w:rPr>
              <w:t xml:space="preserve"> </w:t>
            </w:r>
            <w:r w:rsidRPr="00B0480C">
              <w:rPr>
                <w:rFonts w:eastAsia="Calibri" w:cs="Times New Roman"/>
                <w:i/>
                <w:iCs/>
                <w:szCs w:val="24"/>
              </w:rPr>
              <w:t>C.</w:t>
            </w:r>
            <w:r w:rsidRPr="00624DCE">
              <w:rPr>
                <w:rFonts w:eastAsia="Calibri" w:cs="Times New Roman"/>
                <w:szCs w:val="24"/>
              </w:rPr>
              <w:t xml:space="preserve"> § 800</w:t>
            </w:r>
            <w:r w:rsidR="001C189D">
              <w:rPr>
                <w:rFonts w:eastAsia="Calibri" w:cs="Times New Roman"/>
                <w:szCs w:val="24"/>
              </w:rPr>
              <w:t>2</w:t>
            </w:r>
            <w:r w:rsidRPr="00624DCE">
              <w:rPr>
                <w:rFonts w:eastAsia="Calibri" w:cs="Times New Roman"/>
                <w:szCs w:val="24"/>
              </w:rPr>
              <w:t xml:space="preserve"> AND ASSOCIATED CIVIL PENALTIES ASSESSED TO </w:t>
            </w:r>
            <w:r w:rsidR="00941874" w:rsidRPr="00941874">
              <w:rPr>
                <w:rFonts w:eastAsia="Times New Roman" w:cs="Times New Roman"/>
                <w:bCs/>
                <w:szCs w:val="24"/>
              </w:rPr>
              <w:t>COMMON SENSE SOLUTIONS, LLC</w:t>
            </w:r>
          </w:p>
          <w:p w14:paraId="5892F777" w14:textId="1E3A260E" w:rsidR="00624DCE" w:rsidRPr="00624DCE" w:rsidRDefault="002D170D" w:rsidP="00731361">
            <w:pPr>
              <w:rPr>
                <w:rFonts w:eastAsia="Calibri" w:cs="Times New Roman"/>
                <w:szCs w:val="24"/>
              </w:rPr>
            </w:pPr>
            <w:r>
              <w:rPr>
                <w:rFonts w:eastAsia="Calibri" w:cs="Times New Roman"/>
                <w:szCs w:val="24"/>
              </w:rPr>
              <w:t>(</w:t>
            </w:r>
            <w:r w:rsidR="00624DCE" w:rsidRPr="008B733F">
              <w:rPr>
                <w:rFonts w:eastAsia="Calibri" w:cs="Times New Roman"/>
                <w:szCs w:val="24"/>
              </w:rPr>
              <w:t xml:space="preserve">OPENED </w:t>
            </w:r>
            <w:r w:rsidR="008B733F">
              <w:rPr>
                <w:rFonts w:eastAsia="Calibri" w:cs="Times New Roman"/>
                <w:szCs w:val="24"/>
              </w:rPr>
              <w:t>AUGUST 25, 2023</w:t>
            </w:r>
            <w:r>
              <w:rPr>
                <w:rFonts w:eastAsia="Calibri" w:cs="Times New Roman"/>
                <w:szCs w:val="24"/>
              </w:rPr>
              <w:t>)</w:t>
            </w:r>
          </w:p>
        </w:tc>
        <w:tc>
          <w:tcPr>
            <w:tcW w:w="450" w:type="dxa"/>
          </w:tcPr>
          <w:p w14:paraId="192C880B" w14:textId="77777777" w:rsidR="00624DCE" w:rsidRPr="00624DCE" w:rsidRDefault="00624DCE" w:rsidP="00731361">
            <w:pPr>
              <w:rPr>
                <w:rFonts w:eastAsia="Calibri" w:cs="Times New Roman"/>
                <w:szCs w:val="24"/>
              </w:rPr>
            </w:pPr>
            <w:r w:rsidRPr="00624DCE">
              <w:rPr>
                <w:rFonts w:eastAsia="Calibri" w:cs="Times New Roman"/>
                <w:szCs w:val="24"/>
              </w:rPr>
              <w:t>)</w:t>
            </w:r>
          </w:p>
          <w:p w14:paraId="5C6BD27B" w14:textId="77777777" w:rsidR="00624DCE" w:rsidRPr="00624DCE" w:rsidRDefault="00624DCE" w:rsidP="00731361">
            <w:pPr>
              <w:rPr>
                <w:rFonts w:eastAsia="Calibri" w:cs="Times New Roman"/>
                <w:szCs w:val="24"/>
              </w:rPr>
            </w:pPr>
            <w:r w:rsidRPr="00624DCE">
              <w:rPr>
                <w:rFonts w:eastAsia="Calibri" w:cs="Times New Roman"/>
                <w:szCs w:val="24"/>
              </w:rPr>
              <w:t>)</w:t>
            </w:r>
          </w:p>
          <w:p w14:paraId="2F769346" w14:textId="77777777" w:rsidR="00624DCE" w:rsidRPr="00624DCE" w:rsidRDefault="00624DCE" w:rsidP="00731361">
            <w:pPr>
              <w:rPr>
                <w:rFonts w:eastAsia="Calibri" w:cs="Times New Roman"/>
                <w:szCs w:val="24"/>
              </w:rPr>
            </w:pPr>
            <w:r w:rsidRPr="00624DCE">
              <w:rPr>
                <w:rFonts w:eastAsia="Calibri" w:cs="Times New Roman"/>
                <w:szCs w:val="24"/>
              </w:rPr>
              <w:t>)</w:t>
            </w:r>
          </w:p>
          <w:p w14:paraId="72FCAF0E" w14:textId="77777777" w:rsidR="00624DCE" w:rsidRPr="00624DCE" w:rsidRDefault="00624DCE" w:rsidP="00731361">
            <w:pPr>
              <w:rPr>
                <w:rFonts w:eastAsia="Calibri" w:cs="Times New Roman"/>
                <w:szCs w:val="24"/>
              </w:rPr>
            </w:pPr>
            <w:r w:rsidRPr="00624DCE">
              <w:rPr>
                <w:rFonts w:eastAsia="Calibri" w:cs="Times New Roman"/>
                <w:szCs w:val="24"/>
              </w:rPr>
              <w:t>)</w:t>
            </w:r>
          </w:p>
          <w:p w14:paraId="62D4A8FD" w14:textId="77777777" w:rsidR="00624DCE" w:rsidRDefault="00624DCE" w:rsidP="00731361">
            <w:pPr>
              <w:rPr>
                <w:rFonts w:ascii="Courier New" w:eastAsia="Calibri" w:hAnsi="Courier New" w:cs="Courier New"/>
                <w:sz w:val="22"/>
              </w:rPr>
            </w:pPr>
            <w:r w:rsidRPr="00624DCE">
              <w:rPr>
                <w:rFonts w:eastAsia="Calibri" w:cs="Times New Roman"/>
                <w:szCs w:val="24"/>
              </w:rPr>
              <w:t>)</w:t>
            </w:r>
          </w:p>
        </w:tc>
        <w:tc>
          <w:tcPr>
            <w:tcW w:w="4068" w:type="dxa"/>
          </w:tcPr>
          <w:p w14:paraId="1363EA53" w14:textId="77777777" w:rsidR="00624DCE" w:rsidRDefault="00624DCE" w:rsidP="00731361">
            <w:pPr>
              <w:rPr>
                <w:rFonts w:eastAsia="Calibri" w:cs="Times New Roman"/>
                <w:szCs w:val="24"/>
              </w:rPr>
            </w:pPr>
          </w:p>
          <w:p w14:paraId="7B2121A7" w14:textId="77777777" w:rsidR="00624DCE" w:rsidRDefault="00624DCE" w:rsidP="00731361">
            <w:pPr>
              <w:rPr>
                <w:rFonts w:eastAsia="Calibri" w:cs="Times New Roman"/>
                <w:szCs w:val="24"/>
              </w:rPr>
            </w:pPr>
          </w:p>
          <w:p w14:paraId="41150A04" w14:textId="0E3507DF" w:rsidR="00624DCE" w:rsidRPr="00624DCE" w:rsidRDefault="00624DCE" w:rsidP="00731361">
            <w:pPr>
              <w:rPr>
                <w:rFonts w:eastAsia="Calibri" w:cs="Times New Roman"/>
                <w:szCs w:val="24"/>
              </w:rPr>
            </w:pPr>
            <w:r w:rsidRPr="00624DCE">
              <w:rPr>
                <w:rFonts w:eastAsia="Calibri" w:cs="Times New Roman"/>
                <w:szCs w:val="24"/>
              </w:rPr>
              <w:t xml:space="preserve">PSC DOCKET NO. </w:t>
            </w:r>
            <w:r w:rsidR="005F4758">
              <w:rPr>
                <w:rFonts w:eastAsia="Calibri" w:cs="Times New Roman"/>
                <w:szCs w:val="24"/>
              </w:rPr>
              <w:t>2</w:t>
            </w:r>
            <w:r w:rsidR="001C189D">
              <w:rPr>
                <w:rFonts w:eastAsia="Calibri" w:cs="Times New Roman"/>
                <w:szCs w:val="24"/>
              </w:rPr>
              <w:t>3</w:t>
            </w:r>
            <w:r w:rsidRPr="00624DCE">
              <w:rPr>
                <w:rFonts w:eastAsia="Calibri" w:cs="Times New Roman"/>
                <w:szCs w:val="24"/>
              </w:rPr>
              <w:t>-</w:t>
            </w:r>
            <w:r w:rsidR="008B733F">
              <w:rPr>
                <w:rFonts w:eastAsia="Calibri" w:cs="Times New Roman"/>
                <w:szCs w:val="24"/>
              </w:rPr>
              <w:t>1140</w:t>
            </w:r>
          </w:p>
        </w:tc>
      </w:tr>
    </w:tbl>
    <w:p w14:paraId="042204DF" w14:textId="77777777" w:rsidR="001507F6" w:rsidRDefault="001507F6" w:rsidP="00731361">
      <w:pPr>
        <w:rPr>
          <w:rFonts w:ascii="Courier New" w:eastAsia="Calibri" w:hAnsi="Courier New" w:cs="Courier New"/>
          <w:sz w:val="22"/>
        </w:rPr>
      </w:pPr>
    </w:p>
    <w:p w14:paraId="2821A17A" w14:textId="77777777" w:rsidR="00624DCE" w:rsidRDefault="00624DCE" w:rsidP="00731361">
      <w:pPr>
        <w:rPr>
          <w:rFonts w:ascii="Courier New" w:eastAsia="Calibri" w:hAnsi="Courier New" w:cs="Courier New"/>
          <w:sz w:val="22"/>
        </w:rPr>
      </w:pPr>
    </w:p>
    <w:p w14:paraId="2D3C7D38" w14:textId="67C52963" w:rsidR="00731361" w:rsidRPr="00624DCE" w:rsidRDefault="00731361" w:rsidP="00FC6F37">
      <w:pPr>
        <w:jc w:val="center"/>
        <w:rPr>
          <w:rFonts w:eastAsia="Calibri" w:cs="Times New Roman"/>
          <w:b/>
          <w:szCs w:val="24"/>
        </w:rPr>
      </w:pPr>
      <w:r w:rsidRPr="00624DCE">
        <w:rPr>
          <w:rFonts w:eastAsia="Calibri" w:cs="Times New Roman"/>
          <w:b/>
          <w:szCs w:val="24"/>
        </w:rPr>
        <w:t xml:space="preserve">ORDER NO. </w:t>
      </w:r>
      <w:r w:rsidR="00B0480C">
        <w:rPr>
          <w:rFonts w:eastAsia="Calibri" w:cs="Times New Roman"/>
          <w:b/>
          <w:szCs w:val="24"/>
          <w:u w:val="single"/>
        </w:rPr>
        <w:t>10292</w:t>
      </w:r>
    </w:p>
    <w:p w14:paraId="049C9428" w14:textId="77777777" w:rsidR="00731361" w:rsidRPr="00624DCE" w:rsidRDefault="00731361" w:rsidP="008758A8">
      <w:pPr>
        <w:tabs>
          <w:tab w:val="center" w:pos="4680"/>
        </w:tabs>
        <w:jc w:val="both"/>
        <w:rPr>
          <w:rFonts w:eastAsia="Calibri" w:cs="Times New Roman"/>
          <w:szCs w:val="24"/>
        </w:rPr>
      </w:pPr>
    </w:p>
    <w:p w14:paraId="05EC6899" w14:textId="4FD9C8CC" w:rsidR="00731361" w:rsidRPr="00624DCE" w:rsidRDefault="00731361" w:rsidP="008758A8">
      <w:pPr>
        <w:spacing w:line="480" w:lineRule="auto"/>
        <w:ind w:firstLine="720"/>
        <w:jc w:val="both"/>
        <w:rPr>
          <w:rFonts w:eastAsia="Times New Roman" w:cs="Times New Roman"/>
          <w:szCs w:val="24"/>
        </w:rPr>
      </w:pPr>
      <w:r w:rsidRPr="00624DCE">
        <w:rPr>
          <w:rFonts w:eastAsia="Times New Roman" w:cs="Times New Roman"/>
          <w:b/>
          <w:szCs w:val="24"/>
        </w:rPr>
        <w:t xml:space="preserve">AND NOW, </w:t>
      </w:r>
      <w:r w:rsidRPr="00624DCE">
        <w:rPr>
          <w:rFonts w:eastAsia="Times New Roman" w:cs="Times New Roman"/>
          <w:szCs w:val="24"/>
        </w:rPr>
        <w:t xml:space="preserve">this </w:t>
      </w:r>
      <w:r w:rsidR="002D170D">
        <w:rPr>
          <w:rFonts w:eastAsia="Times New Roman" w:cs="Times New Roman"/>
          <w:szCs w:val="24"/>
        </w:rPr>
        <w:t>13</w:t>
      </w:r>
      <w:r w:rsidR="002D170D" w:rsidRPr="002D170D">
        <w:rPr>
          <w:rFonts w:eastAsia="Times New Roman" w:cs="Times New Roman"/>
          <w:szCs w:val="24"/>
          <w:vertAlign w:val="superscript"/>
        </w:rPr>
        <w:t>th</w:t>
      </w:r>
      <w:r w:rsidR="00C52D4B" w:rsidRPr="00624DCE">
        <w:rPr>
          <w:rFonts w:eastAsia="Times New Roman" w:cs="Times New Roman"/>
          <w:szCs w:val="24"/>
        </w:rPr>
        <w:t xml:space="preserve"> </w:t>
      </w:r>
      <w:r w:rsidRPr="00624DCE">
        <w:rPr>
          <w:rFonts w:eastAsia="Times New Roman" w:cs="Times New Roman"/>
          <w:szCs w:val="24"/>
        </w:rPr>
        <w:t xml:space="preserve">day of </w:t>
      </w:r>
      <w:r w:rsidR="002D170D">
        <w:rPr>
          <w:rFonts w:eastAsia="Times New Roman" w:cs="Times New Roman"/>
          <w:szCs w:val="24"/>
        </w:rPr>
        <w:t>September</w:t>
      </w:r>
      <w:r w:rsidR="002B69EF" w:rsidRPr="00624DCE">
        <w:rPr>
          <w:rFonts w:eastAsia="Times New Roman" w:cs="Times New Roman"/>
          <w:szCs w:val="24"/>
        </w:rPr>
        <w:t xml:space="preserve"> </w:t>
      </w:r>
      <w:r w:rsidR="008A4EAF">
        <w:rPr>
          <w:rFonts w:eastAsia="Times New Roman" w:cs="Times New Roman"/>
          <w:szCs w:val="24"/>
        </w:rPr>
        <w:t>2023</w:t>
      </w:r>
      <w:r w:rsidRPr="00624DCE">
        <w:rPr>
          <w:rFonts w:eastAsia="Times New Roman" w:cs="Times New Roman"/>
          <w:szCs w:val="24"/>
        </w:rPr>
        <w:t>, the Delaware Public Service Commission (“Commission”) determines and orders the following:</w:t>
      </w:r>
    </w:p>
    <w:p w14:paraId="44D0FE96" w14:textId="0D558D88" w:rsidR="009F5C1D" w:rsidRDefault="00731361" w:rsidP="008758A8">
      <w:pPr>
        <w:spacing w:line="480" w:lineRule="auto"/>
        <w:jc w:val="both"/>
        <w:rPr>
          <w:rFonts w:eastAsia="Times New Roman" w:cs="Times New Roman"/>
          <w:szCs w:val="24"/>
        </w:rPr>
      </w:pPr>
      <w:r w:rsidRPr="00624DCE">
        <w:rPr>
          <w:rFonts w:eastAsia="Times New Roman" w:cs="Times New Roman"/>
          <w:szCs w:val="24"/>
        </w:rPr>
        <w:tab/>
      </w:r>
      <w:r w:rsidRPr="00624DCE">
        <w:rPr>
          <w:rFonts w:eastAsia="Times New Roman" w:cs="Times New Roman"/>
          <w:b/>
          <w:szCs w:val="24"/>
        </w:rPr>
        <w:t>WHEREAS</w:t>
      </w:r>
      <w:r w:rsidRPr="00624DCE">
        <w:rPr>
          <w:rFonts w:eastAsia="Times New Roman" w:cs="Times New Roman"/>
          <w:szCs w:val="24"/>
        </w:rPr>
        <w:t xml:space="preserve">, </w:t>
      </w:r>
      <w:r w:rsidR="009F5C1D">
        <w:rPr>
          <w:rFonts w:eastAsia="Times New Roman" w:cs="Times New Roman"/>
          <w:szCs w:val="24"/>
        </w:rPr>
        <w:t xml:space="preserve">26 </w:t>
      </w:r>
      <w:r w:rsidR="009F5C1D" w:rsidRPr="008A4EAF">
        <w:rPr>
          <w:rFonts w:eastAsia="Times New Roman" w:cs="Times New Roman"/>
          <w:i/>
          <w:iCs/>
          <w:szCs w:val="24"/>
        </w:rPr>
        <w:t>Del. Admin. C.</w:t>
      </w:r>
      <w:r w:rsidR="009F5C1D">
        <w:rPr>
          <w:rFonts w:eastAsia="Times New Roman" w:cs="Times New Roman"/>
          <w:szCs w:val="24"/>
        </w:rPr>
        <w:t xml:space="preserve"> § 8002 et seq. (the “Regulations”) established an enforcement program for violations of the Underground Utility Damage Prevention and Safety Act, which is codified at 26 Del. C. Ch 8, Subchapter I (“Damage Prevention Act”);</w:t>
      </w:r>
    </w:p>
    <w:p w14:paraId="09DEA405" w14:textId="6B984009" w:rsidR="00731361" w:rsidRPr="009F5C1D" w:rsidRDefault="00731361" w:rsidP="008758A8">
      <w:pPr>
        <w:spacing w:line="480" w:lineRule="auto"/>
        <w:jc w:val="both"/>
        <w:rPr>
          <w:rFonts w:eastAsia="Times New Roman" w:cs="Times New Roman"/>
          <w:szCs w:val="24"/>
        </w:rPr>
      </w:pPr>
      <w:r w:rsidRPr="00624DCE">
        <w:rPr>
          <w:rFonts w:eastAsia="Calibri" w:cs="Times New Roman"/>
          <w:szCs w:val="24"/>
        </w:rPr>
        <w:tab/>
      </w:r>
      <w:r w:rsidRPr="00624DCE">
        <w:rPr>
          <w:rFonts w:eastAsia="Calibri" w:cs="Times New Roman"/>
          <w:b/>
          <w:szCs w:val="24"/>
        </w:rPr>
        <w:t>WHEREAS</w:t>
      </w:r>
      <w:r w:rsidRPr="00624DCE">
        <w:rPr>
          <w:rFonts w:eastAsia="Calibri" w:cs="Times New Roman"/>
          <w:szCs w:val="24"/>
        </w:rPr>
        <w:t>,</w:t>
      </w:r>
      <w:r w:rsidR="001C189D">
        <w:rPr>
          <w:rFonts w:eastAsia="Calibri" w:cs="Times New Roman"/>
          <w:szCs w:val="24"/>
        </w:rPr>
        <w:t xml:space="preserve"> </w:t>
      </w:r>
      <w:r w:rsidR="001C189D" w:rsidRPr="00624DCE">
        <w:rPr>
          <w:rFonts w:eastAsia="Calibri" w:cs="Times New Roman"/>
          <w:szCs w:val="24"/>
        </w:rPr>
        <w:t xml:space="preserve">the Commission is authorized </w:t>
      </w:r>
      <w:r w:rsidRPr="00624DCE">
        <w:rPr>
          <w:rFonts w:eastAsia="Calibri" w:cs="Times New Roman"/>
          <w:szCs w:val="24"/>
        </w:rPr>
        <w:t xml:space="preserve">to </w:t>
      </w:r>
      <w:r w:rsidR="001C189D">
        <w:rPr>
          <w:rFonts w:eastAsia="Calibri" w:cs="Times New Roman"/>
          <w:szCs w:val="24"/>
        </w:rPr>
        <w:t>enforce excavation damage violations of the Damage Prevention Act through its regulations</w:t>
      </w:r>
      <w:r w:rsidRPr="00624DCE">
        <w:rPr>
          <w:rFonts w:eastAsia="Calibri" w:cs="Times New Roman"/>
          <w:szCs w:val="24"/>
        </w:rPr>
        <w:t>; and</w:t>
      </w:r>
    </w:p>
    <w:p w14:paraId="0B1B2C3A" w14:textId="4B97425B" w:rsidR="002D170D" w:rsidRDefault="00731361" w:rsidP="008758A8">
      <w:pPr>
        <w:spacing w:line="480" w:lineRule="auto"/>
        <w:jc w:val="both"/>
        <w:rPr>
          <w:rFonts w:eastAsia="Calibri" w:cs="Times New Roman"/>
          <w:szCs w:val="24"/>
        </w:rPr>
      </w:pPr>
      <w:r w:rsidRPr="00624DCE">
        <w:rPr>
          <w:rFonts w:eastAsia="Calibri" w:cs="Times New Roman"/>
          <w:b/>
          <w:szCs w:val="24"/>
        </w:rPr>
        <w:tab/>
        <w:t>WHEREAS</w:t>
      </w:r>
      <w:r w:rsidRPr="00624DCE">
        <w:rPr>
          <w:rFonts w:eastAsia="Calibri" w:cs="Times New Roman"/>
          <w:szCs w:val="24"/>
        </w:rPr>
        <w:t xml:space="preserve">, </w:t>
      </w:r>
      <w:r w:rsidR="00941874">
        <w:rPr>
          <w:rFonts w:eastAsia="Times New Roman" w:cs="Times New Roman"/>
          <w:bCs/>
          <w:szCs w:val="24"/>
        </w:rPr>
        <w:t>Common Sense Solutions,</w:t>
      </w:r>
      <w:r w:rsidR="000B628B">
        <w:rPr>
          <w:rFonts w:eastAsia="Times New Roman" w:cs="Times New Roman"/>
          <w:bCs/>
          <w:szCs w:val="24"/>
        </w:rPr>
        <w:t xml:space="preserve"> </w:t>
      </w:r>
      <w:r w:rsidR="00941874">
        <w:rPr>
          <w:rFonts w:eastAsia="Times New Roman" w:cs="Times New Roman"/>
          <w:bCs/>
          <w:szCs w:val="24"/>
        </w:rPr>
        <w:t>LLC</w:t>
      </w:r>
      <w:r w:rsidR="00E65469" w:rsidRPr="00624DCE">
        <w:rPr>
          <w:rFonts w:eastAsia="Calibri" w:cs="Times New Roman"/>
          <w:szCs w:val="24"/>
        </w:rPr>
        <w:t xml:space="preserve"> </w:t>
      </w:r>
      <w:r w:rsidRPr="00624DCE">
        <w:rPr>
          <w:rFonts w:eastAsia="Calibri" w:cs="Times New Roman"/>
          <w:szCs w:val="24"/>
        </w:rPr>
        <w:t>(</w:t>
      </w:r>
      <w:r w:rsidR="008A4EAF">
        <w:rPr>
          <w:rFonts w:eastAsia="Calibri" w:cs="Times New Roman"/>
          <w:szCs w:val="24"/>
        </w:rPr>
        <w:t xml:space="preserve">the </w:t>
      </w:r>
      <w:r w:rsidRPr="00624DCE">
        <w:rPr>
          <w:rFonts w:eastAsia="Calibri" w:cs="Times New Roman"/>
          <w:szCs w:val="24"/>
        </w:rPr>
        <w:t>“</w:t>
      </w:r>
      <w:r w:rsidR="00E65469" w:rsidRPr="00624DCE">
        <w:rPr>
          <w:rFonts w:eastAsia="Calibri" w:cs="Times New Roman"/>
          <w:szCs w:val="24"/>
        </w:rPr>
        <w:t>Company</w:t>
      </w:r>
      <w:r w:rsidRPr="00624DCE">
        <w:rPr>
          <w:rFonts w:eastAsia="Calibri" w:cs="Times New Roman"/>
          <w:szCs w:val="24"/>
        </w:rPr>
        <w:t xml:space="preserve">”) is an </w:t>
      </w:r>
      <w:r w:rsidR="002D170D">
        <w:rPr>
          <w:rFonts w:eastAsia="Calibri" w:cs="Times New Roman"/>
          <w:szCs w:val="24"/>
        </w:rPr>
        <w:t>Excavator</w:t>
      </w:r>
      <w:r w:rsidR="002D170D" w:rsidRPr="00624DCE">
        <w:rPr>
          <w:rFonts w:eastAsia="Calibri" w:cs="Times New Roman"/>
          <w:szCs w:val="24"/>
        </w:rPr>
        <w:t xml:space="preserve"> as set forth in 26 </w:t>
      </w:r>
      <w:r w:rsidR="002D170D" w:rsidRPr="00624DCE">
        <w:rPr>
          <w:rFonts w:eastAsia="Calibri" w:cs="Times New Roman"/>
          <w:i/>
          <w:szCs w:val="24"/>
        </w:rPr>
        <w:t>Del. C.</w:t>
      </w:r>
      <w:r w:rsidR="002D170D" w:rsidRPr="00624DCE">
        <w:rPr>
          <w:rFonts w:eastAsia="Calibri" w:cs="Times New Roman"/>
          <w:szCs w:val="24"/>
        </w:rPr>
        <w:t xml:space="preserve"> § 80</w:t>
      </w:r>
      <w:r w:rsidR="002D170D">
        <w:rPr>
          <w:rFonts w:eastAsia="Calibri" w:cs="Times New Roman"/>
          <w:szCs w:val="24"/>
        </w:rPr>
        <w:t>2</w:t>
      </w:r>
      <w:r w:rsidR="002D170D" w:rsidRPr="00624DCE">
        <w:rPr>
          <w:rFonts w:eastAsia="Calibri" w:cs="Times New Roman"/>
          <w:szCs w:val="24"/>
        </w:rPr>
        <w:t>(</w:t>
      </w:r>
      <w:r w:rsidR="002D170D">
        <w:rPr>
          <w:rFonts w:eastAsia="Calibri" w:cs="Times New Roman"/>
          <w:szCs w:val="24"/>
        </w:rPr>
        <w:t>8</w:t>
      </w:r>
      <w:r w:rsidR="002D170D" w:rsidRPr="00624DCE">
        <w:rPr>
          <w:rFonts w:eastAsia="Calibri" w:cs="Times New Roman"/>
          <w:szCs w:val="24"/>
        </w:rPr>
        <w:t>)</w:t>
      </w:r>
      <w:r w:rsidR="002D170D" w:rsidRPr="00875E00">
        <w:rPr>
          <w:rStyle w:val="FootnoteReference"/>
          <w:rFonts w:eastAsia="Calibri" w:cs="Times New Roman"/>
          <w:szCs w:val="24"/>
        </w:rPr>
        <w:t xml:space="preserve"> </w:t>
      </w:r>
      <w:r w:rsidR="002D170D">
        <w:rPr>
          <w:rStyle w:val="FootnoteReference"/>
          <w:rFonts w:eastAsia="Calibri" w:cs="Times New Roman"/>
          <w:szCs w:val="24"/>
        </w:rPr>
        <w:footnoteReference w:id="1"/>
      </w:r>
      <w:r w:rsidR="002D170D" w:rsidRPr="00624DCE">
        <w:rPr>
          <w:rFonts w:eastAsia="Calibri" w:cs="Times New Roman"/>
          <w:szCs w:val="24"/>
        </w:rPr>
        <w:t xml:space="preserve"> </w:t>
      </w:r>
      <w:r w:rsidR="002D170D">
        <w:rPr>
          <w:rFonts w:eastAsia="Calibri" w:cs="Times New Roman"/>
          <w:szCs w:val="24"/>
        </w:rPr>
        <w:t xml:space="preserve">and </w:t>
      </w:r>
      <w:r w:rsidR="002D170D" w:rsidRPr="00624DCE">
        <w:rPr>
          <w:rFonts w:eastAsia="Calibri" w:cs="Times New Roman"/>
          <w:szCs w:val="24"/>
        </w:rPr>
        <w:t xml:space="preserve">26 </w:t>
      </w:r>
      <w:r w:rsidR="002D170D" w:rsidRPr="00624DCE">
        <w:rPr>
          <w:rFonts w:eastAsia="Calibri" w:cs="Times New Roman"/>
          <w:i/>
          <w:szCs w:val="24"/>
        </w:rPr>
        <w:t>Del. Admin. C</w:t>
      </w:r>
      <w:r w:rsidR="002D170D" w:rsidRPr="00624DCE">
        <w:rPr>
          <w:rFonts w:eastAsia="Calibri" w:cs="Times New Roman"/>
          <w:szCs w:val="24"/>
        </w:rPr>
        <w:t>. § 800</w:t>
      </w:r>
      <w:r w:rsidR="002D170D">
        <w:rPr>
          <w:rFonts w:eastAsia="Calibri" w:cs="Times New Roman"/>
          <w:szCs w:val="24"/>
        </w:rPr>
        <w:t>2</w:t>
      </w:r>
      <w:r w:rsidR="002D170D" w:rsidRPr="00624DCE">
        <w:rPr>
          <w:rFonts w:eastAsia="Calibri" w:cs="Times New Roman"/>
          <w:szCs w:val="24"/>
        </w:rPr>
        <w:t>-1.0 in that Company</w:t>
      </w:r>
      <w:r w:rsidR="002D170D">
        <w:rPr>
          <w:rFonts w:ascii="Source Sans Pro" w:hAnsi="Source Sans Pro"/>
          <w:color w:val="3D3D3D"/>
          <w:sz w:val="27"/>
          <w:szCs w:val="27"/>
          <w:shd w:val="clear" w:color="auto" w:fill="FFFFFF"/>
        </w:rPr>
        <w:t xml:space="preserve"> </w:t>
      </w:r>
      <w:r w:rsidR="002D170D" w:rsidRPr="008A4EAF">
        <w:rPr>
          <w:rFonts w:cs="Times New Roman"/>
          <w:szCs w:val="24"/>
          <w:shd w:val="clear" w:color="auto" w:fill="FFFFFF"/>
        </w:rPr>
        <w:t>perform</w:t>
      </w:r>
      <w:r w:rsidR="002D170D">
        <w:rPr>
          <w:rFonts w:cs="Times New Roman"/>
          <w:szCs w:val="24"/>
          <w:shd w:val="clear" w:color="auto" w:fill="FFFFFF"/>
        </w:rPr>
        <w:t xml:space="preserve">s </w:t>
      </w:r>
      <w:r w:rsidR="002D170D" w:rsidRPr="008A4EAF">
        <w:rPr>
          <w:rFonts w:cs="Times New Roman"/>
          <w:szCs w:val="24"/>
          <w:shd w:val="clear" w:color="auto" w:fill="FFFFFF"/>
        </w:rPr>
        <w:t>excavation or demolition work</w:t>
      </w:r>
      <w:r w:rsidR="002D170D" w:rsidRPr="008A4EAF">
        <w:rPr>
          <w:rFonts w:eastAsia="Calibri" w:cs="Times New Roman"/>
          <w:szCs w:val="24"/>
        </w:rPr>
        <w:t xml:space="preserve"> </w:t>
      </w:r>
      <w:r w:rsidR="002D170D" w:rsidRPr="00624DCE">
        <w:rPr>
          <w:rFonts w:eastAsia="Calibri" w:cs="Times New Roman"/>
          <w:szCs w:val="24"/>
        </w:rPr>
        <w:t>within the State of Delaware and therefore falls within the Commission’s jurisdiction; and</w:t>
      </w:r>
    </w:p>
    <w:p w14:paraId="04D96D29" w14:textId="77777777" w:rsidR="00B35874" w:rsidRDefault="00B35874" w:rsidP="008758A8">
      <w:pPr>
        <w:spacing w:line="480" w:lineRule="auto"/>
        <w:jc w:val="both"/>
        <w:rPr>
          <w:rFonts w:eastAsia="Calibri" w:cs="Times New Roman"/>
          <w:szCs w:val="24"/>
        </w:rPr>
      </w:pPr>
    </w:p>
    <w:p w14:paraId="0F977E1C" w14:textId="243D780A" w:rsidR="00A2785D" w:rsidRDefault="00A2785D" w:rsidP="00A2785D">
      <w:pPr>
        <w:shd w:val="clear" w:color="auto" w:fill="FFFFFF"/>
        <w:spacing w:line="320" w:lineRule="atLeast"/>
        <w:rPr>
          <w:rFonts w:eastAsia="Calibri" w:cs="Times New Roman"/>
          <w:szCs w:val="24"/>
        </w:rPr>
      </w:pPr>
      <w:r w:rsidRPr="00A2785D">
        <w:rPr>
          <w:rFonts w:eastAsia="Calibri" w:cs="Times New Roman"/>
          <w:szCs w:val="24"/>
        </w:rPr>
        <w:lastRenderedPageBreak/>
        <w:tab/>
      </w:r>
      <w:r w:rsidRPr="00A2785D">
        <w:rPr>
          <w:rFonts w:eastAsia="Calibri" w:cs="Times New Roman"/>
          <w:b/>
          <w:bCs/>
          <w:szCs w:val="24"/>
        </w:rPr>
        <w:t>WHEREAS</w:t>
      </w:r>
      <w:r w:rsidRPr="00A2785D">
        <w:rPr>
          <w:rFonts w:eastAsia="Calibri" w:cs="Times New Roman"/>
          <w:szCs w:val="24"/>
        </w:rPr>
        <w:t>, 26 Del. C. § 806(a)(2) provides</w:t>
      </w:r>
      <w:r>
        <w:rPr>
          <w:rFonts w:eastAsia="Calibri" w:cs="Times New Roman"/>
          <w:szCs w:val="24"/>
        </w:rPr>
        <w:t>:</w:t>
      </w:r>
      <w:r w:rsidRPr="00A2785D">
        <w:rPr>
          <w:rFonts w:eastAsia="Calibri" w:cs="Times New Roman"/>
          <w:szCs w:val="24"/>
        </w:rPr>
        <w:t xml:space="preserve"> </w:t>
      </w:r>
    </w:p>
    <w:p w14:paraId="6532EFAC" w14:textId="77777777" w:rsidR="00B35874" w:rsidRPr="00A2785D" w:rsidRDefault="00B35874" w:rsidP="00A2785D">
      <w:pPr>
        <w:shd w:val="clear" w:color="auto" w:fill="FFFFFF"/>
        <w:spacing w:line="320" w:lineRule="atLeast"/>
        <w:rPr>
          <w:rFonts w:eastAsia="Calibri" w:cs="Times New Roman"/>
          <w:szCs w:val="24"/>
        </w:rPr>
      </w:pPr>
    </w:p>
    <w:p w14:paraId="3E783FC6" w14:textId="033F8E26" w:rsidR="00A2785D" w:rsidRPr="00A2785D" w:rsidRDefault="00A2785D" w:rsidP="00A2785D">
      <w:pPr>
        <w:shd w:val="clear" w:color="auto" w:fill="FFFFFF"/>
        <w:spacing w:line="320" w:lineRule="atLeast"/>
        <w:ind w:left="720"/>
        <w:rPr>
          <w:rFonts w:eastAsia="Times New Roman" w:cs="Times New Roman"/>
          <w:color w:val="000000"/>
          <w:szCs w:val="24"/>
        </w:rPr>
      </w:pPr>
      <w:r w:rsidRPr="00A2785D">
        <w:rPr>
          <w:rFonts w:eastAsia="Times New Roman" w:cs="Times New Roman"/>
          <w:color w:val="000000"/>
          <w:szCs w:val="24"/>
        </w:rPr>
        <w:t>“(a) Prior to undertaking any excavation or demolition activities, it shall be the duty of each excavator to:</w:t>
      </w:r>
    </w:p>
    <w:p w14:paraId="2633665F" w14:textId="62781574" w:rsidR="00A2785D" w:rsidRPr="00A2785D" w:rsidRDefault="00A2785D" w:rsidP="00A2785D">
      <w:pPr>
        <w:shd w:val="clear" w:color="auto" w:fill="FFFFFF"/>
        <w:spacing w:line="320" w:lineRule="atLeast"/>
        <w:ind w:left="720" w:firstLine="720"/>
        <w:rPr>
          <w:rFonts w:eastAsia="Times New Roman" w:cs="Times New Roman"/>
          <w:color w:val="000000"/>
          <w:szCs w:val="24"/>
        </w:rPr>
      </w:pPr>
      <w:r w:rsidRPr="00A2785D">
        <w:rPr>
          <w:rFonts w:eastAsia="Times New Roman" w:cs="Times New Roman"/>
          <w:color w:val="000000"/>
          <w:szCs w:val="24"/>
        </w:rPr>
        <w:t>…</w:t>
      </w:r>
    </w:p>
    <w:p w14:paraId="1CEB2361" w14:textId="77777777" w:rsidR="00A2785D" w:rsidRPr="00A2785D" w:rsidRDefault="00A2785D" w:rsidP="00A2785D">
      <w:pPr>
        <w:shd w:val="clear" w:color="auto" w:fill="FFFFFF"/>
        <w:spacing w:line="320" w:lineRule="atLeast"/>
        <w:ind w:left="720"/>
        <w:rPr>
          <w:rFonts w:eastAsia="Times New Roman" w:cs="Times New Roman"/>
          <w:color w:val="000000"/>
          <w:szCs w:val="24"/>
        </w:rPr>
      </w:pPr>
      <w:r w:rsidRPr="00A2785D">
        <w:rPr>
          <w:rFonts w:eastAsia="Times New Roman" w:cs="Times New Roman"/>
          <w:color w:val="000000"/>
          <w:szCs w:val="24"/>
        </w:rPr>
        <w:t>(2) Notify the approved notification center not less than 2 working days, but no more than 10 working days, prior to the day of the commencement of such work of the following:</w:t>
      </w:r>
    </w:p>
    <w:p w14:paraId="03B9040D" w14:textId="77777777" w:rsidR="00A2785D" w:rsidRPr="00A2785D" w:rsidRDefault="00A2785D" w:rsidP="00A2785D">
      <w:pPr>
        <w:shd w:val="clear" w:color="auto" w:fill="FFFFFF"/>
        <w:spacing w:line="320" w:lineRule="atLeast"/>
        <w:ind w:left="720" w:firstLine="720"/>
        <w:rPr>
          <w:rFonts w:eastAsia="Times New Roman" w:cs="Times New Roman"/>
          <w:color w:val="000000"/>
          <w:szCs w:val="24"/>
        </w:rPr>
      </w:pPr>
      <w:r w:rsidRPr="00A2785D">
        <w:rPr>
          <w:rFonts w:eastAsia="Times New Roman" w:cs="Times New Roman"/>
          <w:color w:val="000000"/>
          <w:szCs w:val="24"/>
        </w:rPr>
        <w:t>a. The name of the person notifying the approved notification center;</w:t>
      </w:r>
    </w:p>
    <w:p w14:paraId="6BDD28F5" w14:textId="77777777" w:rsidR="00A2785D" w:rsidRPr="00A2785D" w:rsidRDefault="00A2785D" w:rsidP="00A2785D">
      <w:pPr>
        <w:shd w:val="clear" w:color="auto" w:fill="FFFFFF"/>
        <w:spacing w:line="320" w:lineRule="atLeast"/>
        <w:ind w:left="720" w:firstLine="720"/>
        <w:rPr>
          <w:rFonts w:eastAsia="Times New Roman" w:cs="Times New Roman"/>
          <w:color w:val="000000"/>
          <w:szCs w:val="24"/>
        </w:rPr>
      </w:pPr>
      <w:r w:rsidRPr="00A2785D">
        <w:rPr>
          <w:rFonts w:eastAsia="Times New Roman" w:cs="Times New Roman"/>
          <w:color w:val="000000"/>
          <w:szCs w:val="24"/>
        </w:rPr>
        <w:t>b. The name, address and telephone number of the excavator;</w:t>
      </w:r>
    </w:p>
    <w:p w14:paraId="7E8CCC46" w14:textId="1557EA7D" w:rsidR="00A2785D" w:rsidRPr="00A2785D" w:rsidRDefault="00A2785D" w:rsidP="00A2785D">
      <w:pPr>
        <w:shd w:val="clear" w:color="auto" w:fill="FFFFFF"/>
        <w:spacing w:line="320" w:lineRule="atLeast"/>
        <w:ind w:left="1440"/>
        <w:rPr>
          <w:rFonts w:eastAsia="Times New Roman" w:cs="Times New Roman"/>
          <w:color w:val="000000"/>
          <w:szCs w:val="24"/>
        </w:rPr>
      </w:pPr>
      <w:r w:rsidRPr="00A2785D">
        <w:rPr>
          <w:rFonts w:eastAsia="Times New Roman" w:cs="Times New Roman"/>
          <w:color w:val="000000"/>
          <w:szCs w:val="24"/>
        </w:rPr>
        <w:t>c. The specific location, starting date and description of the intended excavation or demolition activity;”</w:t>
      </w:r>
      <w:r w:rsidRPr="00A2785D">
        <w:rPr>
          <w:rStyle w:val="FootnoteReference"/>
          <w:rFonts w:eastAsia="Times New Roman" w:cs="Times New Roman"/>
          <w:color w:val="000000"/>
          <w:szCs w:val="24"/>
        </w:rPr>
        <w:footnoteReference w:id="2"/>
      </w:r>
      <w:r w:rsidRPr="00A2785D">
        <w:rPr>
          <w:rFonts w:eastAsia="Times New Roman" w:cs="Times New Roman"/>
          <w:color w:val="000000"/>
          <w:szCs w:val="24"/>
        </w:rPr>
        <w:t xml:space="preserve"> and</w:t>
      </w:r>
    </w:p>
    <w:p w14:paraId="6FCFE382" w14:textId="77777777" w:rsidR="00A2785D" w:rsidRPr="00A2785D" w:rsidRDefault="00A2785D" w:rsidP="00A2785D">
      <w:pPr>
        <w:shd w:val="clear" w:color="auto" w:fill="FFFFFF"/>
        <w:spacing w:line="320" w:lineRule="atLeast"/>
        <w:ind w:left="1440"/>
        <w:rPr>
          <w:rFonts w:ascii="Source Sans Pro" w:eastAsia="Times New Roman" w:hAnsi="Source Sans Pro" w:cs="Times New Roman"/>
          <w:color w:val="000000"/>
          <w:szCs w:val="24"/>
        </w:rPr>
      </w:pPr>
    </w:p>
    <w:p w14:paraId="4BCA6402" w14:textId="6E2183BB" w:rsidR="00525C82" w:rsidRPr="00624DCE" w:rsidRDefault="00525C82" w:rsidP="008758A8">
      <w:pPr>
        <w:spacing w:line="480" w:lineRule="auto"/>
        <w:ind w:firstLine="720"/>
        <w:jc w:val="both"/>
        <w:rPr>
          <w:rFonts w:eastAsia="Calibri" w:cs="Times New Roman"/>
          <w:szCs w:val="24"/>
        </w:rPr>
      </w:pPr>
      <w:r w:rsidRPr="001B2A6D">
        <w:rPr>
          <w:rFonts w:eastAsia="Calibri" w:cs="Times New Roman"/>
          <w:b/>
          <w:szCs w:val="24"/>
        </w:rPr>
        <w:t>WHEREAS</w:t>
      </w:r>
      <w:r w:rsidRPr="001B2A6D">
        <w:rPr>
          <w:rFonts w:eastAsia="Calibri" w:cs="Times New Roman"/>
          <w:szCs w:val="24"/>
        </w:rPr>
        <w:t xml:space="preserve">, Commission Staff (“Staff”) received an Underground Facility Damage Report on </w:t>
      </w:r>
      <w:r w:rsidR="00941874">
        <w:rPr>
          <w:rFonts w:eastAsia="Calibri" w:cs="Times New Roman"/>
          <w:szCs w:val="24"/>
        </w:rPr>
        <w:t>June 30</w:t>
      </w:r>
      <w:r w:rsidRPr="001B2A6D">
        <w:rPr>
          <w:rFonts w:eastAsia="Calibri" w:cs="Times New Roman"/>
          <w:szCs w:val="24"/>
        </w:rPr>
        <w:t>, 2022</w:t>
      </w:r>
      <w:r w:rsidRPr="001B2A6D">
        <w:rPr>
          <w:rFonts w:cs="Times New Roman"/>
          <w:szCs w:val="24"/>
        </w:rPr>
        <w:t xml:space="preserve"> </w:t>
      </w:r>
      <w:r w:rsidRPr="001B2A6D">
        <w:rPr>
          <w:rFonts w:eastAsia="Calibri" w:cs="Times New Roman"/>
          <w:szCs w:val="24"/>
        </w:rPr>
        <w:t xml:space="preserve">that the Company had violated 26 </w:t>
      </w:r>
      <w:r w:rsidRPr="001B2A6D">
        <w:rPr>
          <w:rFonts w:eastAsia="Calibri" w:cs="Times New Roman"/>
          <w:i/>
          <w:iCs/>
          <w:szCs w:val="24"/>
        </w:rPr>
        <w:t>Del. C</w:t>
      </w:r>
      <w:r w:rsidRPr="001B2A6D">
        <w:rPr>
          <w:rFonts w:eastAsia="Calibri" w:cs="Times New Roman"/>
          <w:szCs w:val="24"/>
        </w:rPr>
        <w:t>. §</w:t>
      </w:r>
      <w:r w:rsidR="00B35874">
        <w:rPr>
          <w:rFonts w:eastAsia="Calibri" w:cs="Times New Roman"/>
          <w:szCs w:val="24"/>
        </w:rPr>
        <w:t xml:space="preserve"> </w:t>
      </w:r>
      <w:r w:rsidRPr="001B2A6D">
        <w:rPr>
          <w:rFonts w:eastAsia="Calibri" w:cs="Times New Roman"/>
          <w:szCs w:val="24"/>
        </w:rPr>
        <w:t>806(a)(2); an</w:t>
      </w:r>
      <w:r w:rsidR="008758A8">
        <w:rPr>
          <w:rFonts w:eastAsia="Calibri" w:cs="Times New Roman"/>
          <w:szCs w:val="24"/>
        </w:rPr>
        <w:t>d</w:t>
      </w:r>
    </w:p>
    <w:p w14:paraId="4BDB281A" w14:textId="70F52B46" w:rsidR="00525C82" w:rsidRDefault="00525C82" w:rsidP="008758A8">
      <w:pPr>
        <w:spacing w:line="480" w:lineRule="auto"/>
        <w:ind w:firstLine="720"/>
        <w:jc w:val="both"/>
        <w:rPr>
          <w:rFonts w:eastAsia="Calibri" w:cs="Times New Roman"/>
          <w:szCs w:val="24"/>
        </w:rPr>
      </w:pPr>
      <w:r w:rsidRPr="008A4EAF">
        <w:rPr>
          <w:rFonts w:eastAsia="Calibri" w:cs="Times New Roman"/>
          <w:b/>
          <w:bCs/>
          <w:szCs w:val="24"/>
        </w:rPr>
        <w:t>WHEREAS</w:t>
      </w:r>
      <w:r>
        <w:rPr>
          <w:rFonts w:eastAsia="Calibri" w:cs="Times New Roman"/>
          <w:szCs w:val="24"/>
        </w:rPr>
        <w:t xml:space="preserve">, Commission Staff sent a </w:t>
      </w:r>
      <w:r w:rsidRPr="00624DCE">
        <w:rPr>
          <w:rFonts w:eastAsia="Calibri" w:cs="Times New Roman"/>
          <w:szCs w:val="24"/>
        </w:rPr>
        <w:t xml:space="preserve">written </w:t>
      </w:r>
      <w:r>
        <w:rPr>
          <w:rFonts w:eastAsia="Calibri" w:cs="Times New Roman"/>
          <w:szCs w:val="24"/>
        </w:rPr>
        <w:t>warning letter</w:t>
      </w:r>
      <w:r w:rsidRPr="00624DCE">
        <w:rPr>
          <w:rFonts w:eastAsia="Calibri" w:cs="Times New Roman"/>
          <w:szCs w:val="24"/>
        </w:rPr>
        <w:t xml:space="preserve"> dated </w:t>
      </w:r>
      <w:r w:rsidR="007A20C3">
        <w:rPr>
          <w:rFonts w:eastAsia="Calibri" w:cs="Times New Roman"/>
          <w:szCs w:val="24"/>
        </w:rPr>
        <w:t>July 5, 2022 and</w:t>
      </w:r>
      <w:r w:rsidR="00B35874">
        <w:rPr>
          <w:rFonts w:eastAsia="Calibri" w:cs="Times New Roman"/>
          <w:szCs w:val="24"/>
        </w:rPr>
        <w:t xml:space="preserve"> again on</w:t>
      </w:r>
      <w:r w:rsidR="007A20C3">
        <w:rPr>
          <w:rFonts w:eastAsia="Calibri" w:cs="Times New Roman"/>
          <w:szCs w:val="24"/>
        </w:rPr>
        <w:t xml:space="preserve"> August 19</w:t>
      </w:r>
      <w:r>
        <w:rPr>
          <w:rFonts w:eastAsia="Calibri" w:cs="Times New Roman"/>
          <w:szCs w:val="24"/>
        </w:rPr>
        <w:t>, 202</w:t>
      </w:r>
      <w:r w:rsidR="002D170D">
        <w:rPr>
          <w:rFonts w:eastAsia="Calibri" w:cs="Times New Roman"/>
          <w:szCs w:val="24"/>
        </w:rPr>
        <w:t>2</w:t>
      </w:r>
      <w:r w:rsidR="007A20C3">
        <w:rPr>
          <w:rFonts w:eastAsia="Calibri" w:cs="Times New Roman"/>
          <w:szCs w:val="24"/>
        </w:rPr>
        <w:t xml:space="preserve"> (the “Warning Letter</w:t>
      </w:r>
      <w:r w:rsidR="00B35874">
        <w:rPr>
          <w:rFonts w:eastAsia="Calibri" w:cs="Times New Roman"/>
          <w:szCs w:val="24"/>
        </w:rPr>
        <w:t>(</w:t>
      </w:r>
      <w:r w:rsidR="007A20C3">
        <w:rPr>
          <w:rFonts w:eastAsia="Calibri" w:cs="Times New Roman"/>
          <w:szCs w:val="24"/>
        </w:rPr>
        <w:t>s</w:t>
      </w:r>
      <w:r w:rsidR="00B35874">
        <w:rPr>
          <w:rFonts w:eastAsia="Calibri" w:cs="Times New Roman"/>
          <w:szCs w:val="24"/>
        </w:rPr>
        <w:t>)</w:t>
      </w:r>
      <w:r w:rsidR="007A20C3">
        <w:rPr>
          <w:rFonts w:eastAsia="Calibri" w:cs="Times New Roman"/>
          <w:szCs w:val="24"/>
        </w:rPr>
        <w:t>”). Copies of the Warning Letters are attached as Exhibit “A”</w:t>
      </w:r>
      <w:r w:rsidRPr="00624DCE">
        <w:rPr>
          <w:rFonts w:eastAsia="Calibri" w:cs="Times New Roman"/>
          <w:szCs w:val="24"/>
        </w:rPr>
        <w:t>.</w:t>
      </w:r>
      <w:r w:rsidR="007A20C3">
        <w:rPr>
          <w:rStyle w:val="FootnoteReference"/>
          <w:rFonts w:eastAsia="Calibri" w:cs="Times New Roman"/>
          <w:szCs w:val="24"/>
        </w:rPr>
        <w:footnoteReference w:id="3"/>
      </w:r>
      <w:r w:rsidRPr="00624DCE">
        <w:rPr>
          <w:rFonts w:eastAsia="Calibri" w:cs="Times New Roman"/>
          <w:szCs w:val="24"/>
        </w:rPr>
        <w:t xml:space="preserve">  The </w:t>
      </w:r>
      <w:r>
        <w:rPr>
          <w:rFonts w:eastAsia="Calibri" w:cs="Times New Roman"/>
          <w:szCs w:val="24"/>
        </w:rPr>
        <w:t>Warning Letter</w:t>
      </w:r>
      <w:r w:rsidR="007A20C3">
        <w:rPr>
          <w:rFonts w:eastAsia="Calibri" w:cs="Times New Roman"/>
          <w:szCs w:val="24"/>
        </w:rPr>
        <w:t>s</w:t>
      </w:r>
      <w:r w:rsidRPr="00624DCE">
        <w:rPr>
          <w:rFonts w:eastAsia="Calibri" w:cs="Times New Roman"/>
          <w:szCs w:val="24"/>
        </w:rPr>
        <w:t xml:space="preserve"> noted that Company had failed to </w:t>
      </w:r>
      <w:r>
        <w:rPr>
          <w:rFonts w:eastAsia="Calibri" w:cs="Times New Roman"/>
          <w:szCs w:val="24"/>
        </w:rPr>
        <w:t xml:space="preserve">call the One Call Center (811) </w:t>
      </w:r>
      <w:r w:rsidRPr="00624DCE">
        <w:rPr>
          <w:rFonts w:eastAsia="Calibri" w:cs="Times New Roman"/>
          <w:szCs w:val="24"/>
        </w:rPr>
        <w:t>and</w:t>
      </w:r>
      <w:r w:rsidR="00A2785D">
        <w:rPr>
          <w:rFonts w:eastAsia="Calibri" w:cs="Times New Roman"/>
          <w:szCs w:val="24"/>
        </w:rPr>
        <w:t xml:space="preserve"> therefore</w:t>
      </w:r>
      <w:r w:rsidRPr="00624DCE">
        <w:rPr>
          <w:rFonts w:eastAsia="Calibri" w:cs="Times New Roman"/>
          <w:szCs w:val="24"/>
        </w:rPr>
        <w:t xml:space="preserve"> failed to follow </w:t>
      </w:r>
      <w:r>
        <w:rPr>
          <w:rFonts w:eastAsia="Calibri" w:cs="Times New Roman"/>
          <w:szCs w:val="24"/>
        </w:rPr>
        <w:t>the Damage Prevention Act</w:t>
      </w:r>
      <w:r w:rsidRPr="00624DCE">
        <w:rPr>
          <w:rFonts w:eastAsia="Calibri" w:cs="Times New Roman"/>
          <w:szCs w:val="24"/>
        </w:rPr>
        <w:t>; and</w:t>
      </w:r>
    </w:p>
    <w:p w14:paraId="741CF2C3" w14:textId="4C3758D3" w:rsidR="002D170D" w:rsidRDefault="002D170D" w:rsidP="008758A8">
      <w:pPr>
        <w:spacing w:line="480" w:lineRule="auto"/>
        <w:ind w:firstLine="720"/>
        <w:jc w:val="both"/>
        <w:rPr>
          <w:rFonts w:eastAsia="Calibri" w:cs="Times New Roman"/>
          <w:szCs w:val="24"/>
        </w:rPr>
      </w:pPr>
      <w:r w:rsidRPr="008A4EAF">
        <w:rPr>
          <w:rFonts w:eastAsia="Calibri" w:cs="Times New Roman"/>
          <w:b/>
          <w:bCs/>
          <w:szCs w:val="24"/>
        </w:rPr>
        <w:t>WHEREAS</w:t>
      </w:r>
      <w:r>
        <w:rPr>
          <w:rFonts w:eastAsia="Calibri" w:cs="Times New Roman"/>
          <w:szCs w:val="24"/>
        </w:rPr>
        <w:t xml:space="preserve">, Staff did not receive a response to </w:t>
      </w:r>
      <w:r w:rsidR="007A20C3">
        <w:rPr>
          <w:rFonts w:eastAsia="Calibri" w:cs="Times New Roman"/>
          <w:szCs w:val="24"/>
        </w:rPr>
        <w:t>either</w:t>
      </w:r>
      <w:r>
        <w:rPr>
          <w:rFonts w:eastAsia="Calibri" w:cs="Times New Roman"/>
          <w:szCs w:val="24"/>
        </w:rPr>
        <w:t xml:space="preserve"> Warning Letter</w:t>
      </w:r>
      <w:r w:rsidR="00A2785D">
        <w:rPr>
          <w:rFonts w:eastAsia="Calibri" w:cs="Times New Roman"/>
          <w:szCs w:val="24"/>
        </w:rPr>
        <w:t xml:space="preserve"> as required by </w:t>
      </w:r>
      <w:r w:rsidR="00A2785D" w:rsidRPr="008758A8">
        <w:rPr>
          <w:rFonts w:cs="Times New Roman"/>
        </w:rPr>
        <w:t xml:space="preserve">26 </w:t>
      </w:r>
      <w:r w:rsidR="00A2785D" w:rsidRPr="00A2785D">
        <w:rPr>
          <w:rFonts w:cs="Times New Roman"/>
          <w:i/>
          <w:iCs/>
        </w:rPr>
        <w:t>Del. Admin. C.</w:t>
      </w:r>
      <w:r w:rsidR="00A2785D" w:rsidRPr="008758A8">
        <w:rPr>
          <w:rFonts w:cs="Times New Roman"/>
        </w:rPr>
        <w:t xml:space="preserve"> § 8002-</w:t>
      </w:r>
      <w:r w:rsidR="00A2785D" w:rsidRPr="008758A8">
        <w:rPr>
          <w:rFonts w:eastAsia="Times New Roman" w:cs="Times New Roman"/>
          <w:color w:val="000000"/>
          <w:szCs w:val="24"/>
        </w:rPr>
        <w:t>7.</w:t>
      </w:r>
      <w:r w:rsidR="00A2785D">
        <w:rPr>
          <w:rFonts w:eastAsia="Times New Roman" w:cs="Times New Roman"/>
          <w:color w:val="000000"/>
          <w:szCs w:val="24"/>
        </w:rPr>
        <w:t>1</w:t>
      </w:r>
      <w:r w:rsidR="00A2785D" w:rsidRPr="008758A8">
        <w:rPr>
          <w:rFonts w:eastAsia="Times New Roman" w:cs="Times New Roman"/>
          <w:color w:val="000000"/>
          <w:szCs w:val="24"/>
        </w:rPr>
        <w:t>.2</w:t>
      </w:r>
      <w:r>
        <w:rPr>
          <w:rFonts w:eastAsia="Calibri" w:cs="Times New Roman"/>
          <w:szCs w:val="24"/>
        </w:rPr>
        <w:t>;</w:t>
      </w:r>
      <w:r>
        <w:rPr>
          <w:rStyle w:val="FootnoteReference"/>
          <w:rFonts w:eastAsia="Calibri" w:cs="Times New Roman"/>
          <w:szCs w:val="24"/>
        </w:rPr>
        <w:footnoteReference w:id="4"/>
      </w:r>
      <w:r>
        <w:rPr>
          <w:rFonts w:eastAsia="Calibri" w:cs="Times New Roman"/>
          <w:szCs w:val="24"/>
        </w:rPr>
        <w:t xml:space="preserve"> and</w:t>
      </w:r>
    </w:p>
    <w:p w14:paraId="5D2579A2" w14:textId="33703F21" w:rsidR="002D170D" w:rsidRPr="00624DCE" w:rsidRDefault="002D170D" w:rsidP="008758A8">
      <w:pPr>
        <w:spacing w:line="480" w:lineRule="auto"/>
        <w:ind w:firstLine="720"/>
        <w:jc w:val="both"/>
        <w:rPr>
          <w:rFonts w:eastAsia="Calibri" w:cs="Times New Roman"/>
          <w:szCs w:val="24"/>
        </w:rPr>
      </w:pPr>
      <w:r w:rsidRPr="008A4EAF">
        <w:rPr>
          <w:rFonts w:eastAsia="Calibri" w:cs="Times New Roman"/>
          <w:b/>
          <w:bCs/>
          <w:szCs w:val="24"/>
        </w:rPr>
        <w:lastRenderedPageBreak/>
        <w:t>WHEREAS</w:t>
      </w:r>
      <w:r>
        <w:rPr>
          <w:rFonts w:eastAsia="Calibri" w:cs="Times New Roman"/>
          <w:szCs w:val="24"/>
        </w:rPr>
        <w:t xml:space="preserve">, </w:t>
      </w:r>
      <w:r w:rsidRPr="001B2A6D">
        <w:rPr>
          <w:rFonts w:eastAsia="Calibri" w:cs="Times New Roman"/>
          <w:szCs w:val="24"/>
        </w:rPr>
        <w:t>Staff received an</w:t>
      </w:r>
      <w:r>
        <w:rPr>
          <w:rFonts w:eastAsia="Calibri" w:cs="Times New Roman"/>
          <w:szCs w:val="24"/>
        </w:rPr>
        <w:t>other</w:t>
      </w:r>
      <w:r w:rsidRPr="001B2A6D">
        <w:rPr>
          <w:rFonts w:eastAsia="Calibri" w:cs="Times New Roman"/>
          <w:szCs w:val="24"/>
        </w:rPr>
        <w:t xml:space="preserve"> Underground Facility Damage Report on </w:t>
      </w:r>
      <w:r>
        <w:rPr>
          <w:rFonts w:eastAsia="Calibri" w:cs="Times New Roman"/>
          <w:szCs w:val="24"/>
        </w:rPr>
        <w:t xml:space="preserve">May 24, 2023 </w:t>
      </w:r>
      <w:r w:rsidRPr="001B2A6D">
        <w:rPr>
          <w:rFonts w:eastAsia="Calibri" w:cs="Times New Roman"/>
          <w:szCs w:val="24"/>
        </w:rPr>
        <w:t xml:space="preserve">that the Company had </w:t>
      </w:r>
      <w:r>
        <w:rPr>
          <w:rFonts w:eastAsia="Calibri" w:cs="Times New Roman"/>
          <w:szCs w:val="24"/>
        </w:rPr>
        <w:t xml:space="preserve">again </w:t>
      </w:r>
      <w:r w:rsidRPr="001B2A6D">
        <w:rPr>
          <w:rFonts w:eastAsia="Calibri" w:cs="Times New Roman"/>
          <w:szCs w:val="24"/>
        </w:rPr>
        <w:t xml:space="preserve">violated 26 </w:t>
      </w:r>
      <w:r w:rsidRPr="001B2A6D">
        <w:rPr>
          <w:rFonts w:eastAsia="Calibri" w:cs="Times New Roman"/>
          <w:i/>
          <w:iCs/>
          <w:szCs w:val="24"/>
        </w:rPr>
        <w:t>Del. C</w:t>
      </w:r>
      <w:r w:rsidRPr="001B2A6D">
        <w:rPr>
          <w:rFonts w:eastAsia="Calibri" w:cs="Times New Roman"/>
          <w:szCs w:val="24"/>
        </w:rPr>
        <w:t>. §806(a)(2); an</w:t>
      </w:r>
      <w:r>
        <w:rPr>
          <w:rFonts w:eastAsia="Calibri" w:cs="Times New Roman"/>
          <w:szCs w:val="24"/>
        </w:rPr>
        <w:t>d</w:t>
      </w:r>
    </w:p>
    <w:p w14:paraId="2EF2F38F" w14:textId="10317AB7" w:rsidR="00525C82" w:rsidRPr="001B2A6D" w:rsidRDefault="00525C82" w:rsidP="008758A8">
      <w:pPr>
        <w:spacing w:line="480" w:lineRule="auto"/>
        <w:ind w:firstLine="720"/>
        <w:jc w:val="both"/>
        <w:rPr>
          <w:rFonts w:eastAsia="Calibri" w:cs="Times New Roman"/>
          <w:szCs w:val="24"/>
        </w:rPr>
      </w:pPr>
      <w:r w:rsidRPr="00043D8C">
        <w:rPr>
          <w:rFonts w:eastAsia="Calibri" w:cs="Times New Roman"/>
          <w:b/>
          <w:szCs w:val="24"/>
        </w:rPr>
        <w:t>WHEREAS</w:t>
      </w:r>
      <w:r w:rsidRPr="00043D8C">
        <w:rPr>
          <w:rFonts w:eastAsia="Calibri" w:cs="Times New Roman"/>
          <w:szCs w:val="24"/>
        </w:rPr>
        <w:t xml:space="preserve">, </w:t>
      </w:r>
      <w:r>
        <w:rPr>
          <w:rFonts w:eastAsia="Calibri" w:cs="Times New Roman"/>
          <w:szCs w:val="24"/>
        </w:rPr>
        <w:t xml:space="preserve">the </w:t>
      </w:r>
      <w:r w:rsidRPr="007A6431">
        <w:rPr>
          <w:rFonts w:eastAsia="Calibri" w:cs="Times New Roman"/>
          <w:szCs w:val="24"/>
        </w:rPr>
        <w:t>Company</w:t>
      </w:r>
      <w:r>
        <w:rPr>
          <w:rFonts w:eastAsia="Calibri" w:cs="Times New Roman"/>
          <w:szCs w:val="24"/>
        </w:rPr>
        <w:t xml:space="preserve">’s failure to call the One Call Center (811) on </w:t>
      </w:r>
      <w:r w:rsidR="002D170D">
        <w:rPr>
          <w:rFonts w:eastAsia="Calibri" w:cs="Times New Roman"/>
          <w:szCs w:val="24"/>
        </w:rPr>
        <w:t>May</w:t>
      </w:r>
      <w:r w:rsidR="00941874">
        <w:rPr>
          <w:rFonts w:eastAsia="Calibri" w:cs="Times New Roman"/>
          <w:szCs w:val="24"/>
        </w:rPr>
        <w:t xml:space="preserve"> </w:t>
      </w:r>
      <w:r w:rsidR="002D170D">
        <w:rPr>
          <w:rFonts w:eastAsia="Calibri" w:cs="Times New Roman"/>
          <w:szCs w:val="24"/>
        </w:rPr>
        <w:t>13</w:t>
      </w:r>
      <w:r>
        <w:rPr>
          <w:rFonts w:eastAsia="Calibri" w:cs="Times New Roman"/>
          <w:szCs w:val="24"/>
        </w:rPr>
        <w:t>, 202</w:t>
      </w:r>
      <w:r w:rsidR="002D170D">
        <w:rPr>
          <w:rFonts w:eastAsia="Calibri" w:cs="Times New Roman"/>
          <w:szCs w:val="24"/>
        </w:rPr>
        <w:t>2</w:t>
      </w:r>
      <w:r>
        <w:rPr>
          <w:rFonts w:eastAsia="Calibri" w:cs="Times New Roman"/>
          <w:szCs w:val="24"/>
        </w:rPr>
        <w:t xml:space="preserve"> </w:t>
      </w:r>
      <w:r w:rsidR="002D170D">
        <w:rPr>
          <w:rFonts w:eastAsia="Calibri" w:cs="Times New Roman"/>
          <w:szCs w:val="24"/>
        </w:rPr>
        <w:t xml:space="preserve">and on May 24, 2023 </w:t>
      </w:r>
      <w:r w:rsidRPr="001B2A6D">
        <w:rPr>
          <w:rFonts w:eastAsia="Calibri" w:cs="Times New Roman"/>
          <w:szCs w:val="24"/>
        </w:rPr>
        <w:t xml:space="preserve">represents </w:t>
      </w:r>
      <w:r w:rsidR="002D170D">
        <w:rPr>
          <w:rFonts w:eastAsia="Calibri" w:cs="Times New Roman"/>
          <w:szCs w:val="24"/>
        </w:rPr>
        <w:t>two (2)</w:t>
      </w:r>
      <w:r w:rsidRPr="001B2A6D">
        <w:rPr>
          <w:rFonts w:eastAsia="Calibri" w:cs="Times New Roman"/>
          <w:szCs w:val="24"/>
        </w:rPr>
        <w:t xml:space="preserve"> potential violation</w:t>
      </w:r>
      <w:r w:rsidR="002D170D">
        <w:rPr>
          <w:rFonts w:eastAsia="Calibri" w:cs="Times New Roman"/>
          <w:szCs w:val="24"/>
        </w:rPr>
        <w:t>s</w:t>
      </w:r>
      <w:r w:rsidRPr="001B2A6D">
        <w:rPr>
          <w:rFonts w:eastAsia="Calibri" w:cs="Times New Roman"/>
          <w:szCs w:val="24"/>
        </w:rPr>
        <w:t xml:space="preserve"> of 26 </w:t>
      </w:r>
      <w:r w:rsidRPr="001B2A6D">
        <w:rPr>
          <w:rFonts w:eastAsia="Calibri" w:cs="Times New Roman"/>
          <w:i/>
          <w:iCs/>
          <w:szCs w:val="24"/>
        </w:rPr>
        <w:t>Del. C.</w:t>
      </w:r>
      <w:r w:rsidRPr="001B2A6D">
        <w:rPr>
          <w:rFonts w:eastAsia="Calibri" w:cs="Times New Roman"/>
          <w:szCs w:val="24"/>
        </w:rPr>
        <w:t xml:space="preserve"> § 806(a)(2); and </w:t>
      </w:r>
    </w:p>
    <w:p w14:paraId="6B8B2A8D" w14:textId="57552B95" w:rsidR="00731361" w:rsidRPr="00624DCE" w:rsidRDefault="00DB7753" w:rsidP="008758A8">
      <w:pPr>
        <w:spacing w:line="480" w:lineRule="auto"/>
        <w:jc w:val="both"/>
        <w:rPr>
          <w:rFonts w:eastAsia="Calibri" w:cs="Times New Roman"/>
          <w:szCs w:val="24"/>
        </w:rPr>
      </w:pPr>
      <w:r w:rsidRPr="00043D8C">
        <w:rPr>
          <w:rFonts w:eastAsia="Calibri" w:cs="Times New Roman"/>
          <w:szCs w:val="24"/>
        </w:rPr>
        <w:tab/>
      </w:r>
      <w:r w:rsidR="00731361" w:rsidRPr="00624DCE">
        <w:rPr>
          <w:rFonts w:eastAsia="Calibri" w:cs="Times New Roman"/>
          <w:b/>
          <w:bCs/>
          <w:szCs w:val="24"/>
        </w:rPr>
        <w:t>WHEREAS</w:t>
      </w:r>
      <w:r w:rsidR="00731361" w:rsidRPr="00624DCE">
        <w:rPr>
          <w:rFonts w:eastAsia="Calibri" w:cs="Times New Roman"/>
          <w:bCs/>
          <w:szCs w:val="24"/>
        </w:rPr>
        <w:t xml:space="preserve">, </w:t>
      </w:r>
      <w:r w:rsidR="00731361" w:rsidRPr="00624DCE">
        <w:rPr>
          <w:rFonts w:eastAsia="Calibri" w:cs="Times New Roman"/>
          <w:szCs w:val="24"/>
        </w:rPr>
        <w:t xml:space="preserve">on </w:t>
      </w:r>
      <w:r w:rsidR="00525C82">
        <w:rPr>
          <w:rFonts w:eastAsia="Calibri" w:cs="Times New Roman"/>
          <w:szCs w:val="24"/>
        </w:rPr>
        <w:t xml:space="preserve">June </w:t>
      </w:r>
      <w:r w:rsidR="003518AF">
        <w:rPr>
          <w:rFonts w:eastAsia="Calibri" w:cs="Times New Roman"/>
          <w:szCs w:val="24"/>
        </w:rPr>
        <w:t>1</w:t>
      </w:r>
      <w:r w:rsidR="002D170D">
        <w:rPr>
          <w:rFonts w:eastAsia="Calibri" w:cs="Times New Roman"/>
          <w:szCs w:val="24"/>
        </w:rPr>
        <w:t>3</w:t>
      </w:r>
      <w:r>
        <w:rPr>
          <w:rFonts w:eastAsia="Calibri" w:cs="Times New Roman"/>
          <w:szCs w:val="24"/>
        </w:rPr>
        <w:t>, 2023</w:t>
      </w:r>
      <w:r w:rsidR="00731361" w:rsidRPr="00624DCE">
        <w:rPr>
          <w:rFonts w:eastAsia="Calibri" w:cs="Times New Roman"/>
          <w:szCs w:val="24"/>
        </w:rPr>
        <w:t>, the Program Manager of the Pipeline Safety Program for the State of Delaware</w:t>
      </w:r>
      <w:r>
        <w:rPr>
          <w:rFonts w:eastAsia="Calibri" w:cs="Times New Roman"/>
          <w:szCs w:val="24"/>
        </w:rPr>
        <w:t xml:space="preserve">, </w:t>
      </w:r>
      <w:r w:rsidR="00731361" w:rsidRPr="00624DCE">
        <w:rPr>
          <w:rFonts w:eastAsia="Calibri" w:cs="Times New Roman"/>
          <w:szCs w:val="24"/>
        </w:rPr>
        <w:t>a member of the Commission Staff</w:t>
      </w:r>
      <w:r>
        <w:rPr>
          <w:rFonts w:eastAsia="Calibri" w:cs="Times New Roman"/>
          <w:szCs w:val="24"/>
        </w:rPr>
        <w:t xml:space="preserve">, </w:t>
      </w:r>
      <w:r w:rsidR="00731361" w:rsidRPr="00624DCE">
        <w:rPr>
          <w:rFonts w:eastAsia="Calibri" w:cs="Times New Roman"/>
          <w:szCs w:val="24"/>
        </w:rPr>
        <w:t>sent a written letter of the Notice of Potential Violations (“NOPV”) and a copy of the</w:t>
      </w:r>
      <w:r w:rsidR="007A20C3">
        <w:rPr>
          <w:rFonts w:eastAsia="Calibri" w:cs="Times New Roman"/>
          <w:szCs w:val="24"/>
        </w:rPr>
        <w:t xml:space="preserve"> July 5, 2022</w:t>
      </w:r>
      <w:r w:rsidR="00731361" w:rsidRPr="00624DCE">
        <w:rPr>
          <w:rFonts w:eastAsia="Calibri" w:cs="Times New Roman"/>
          <w:szCs w:val="24"/>
        </w:rPr>
        <w:t xml:space="preserve"> </w:t>
      </w:r>
      <w:r w:rsidR="009D79BB">
        <w:rPr>
          <w:rFonts w:eastAsia="Calibri" w:cs="Times New Roman"/>
          <w:szCs w:val="24"/>
        </w:rPr>
        <w:t>Warning Letter</w:t>
      </w:r>
      <w:r w:rsidR="00731361" w:rsidRPr="00624DCE">
        <w:rPr>
          <w:rFonts w:eastAsia="Calibri" w:cs="Times New Roman"/>
          <w:szCs w:val="24"/>
        </w:rPr>
        <w:t xml:space="preserve"> to </w:t>
      </w:r>
      <w:r w:rsidR="002D170D">
        <w:rPr>
          <w:rFonts w:eastAsia="Calibri" w:cs="Times New Roman"/>
          <w:szCs w:val="24"/>
        </w:rPr>
        <w:t>the Company</w:t>
      </w:r>
      <w:r w:rsidR="00731361" w:rsidRPr="00624DCE">
        <w:rPr>
          <w:rFonts w:eastAsia="Calibri" w:cs="Times New Roman"/>
          <w:szCs w:val="24"/>
        </w:rPr>
        <w:t xml:space="preserve">.  </w:t>
      </w:r>
      <w:r w:rsidR="00032FBB" w:rsidRPr="00624DCE">
        <w:rPr>
          <w:rFonts w:eastAsia="Calibri" w:cs="Times New Roman"/>
          <w:szCs w:val="24"/>
        </w:rPr>
        <w:t>A c</w:t>
      </w:r>
      <w:r w:rsidR="00731361" w:rsidRPr="00624DCE">
        <w:rPr>
          <w:rFonts w:eastAsia="Calibri" w:cs="Times New Roman"/>
          <w:szCs w:val="24"/>
        </w:rPr>
        <w:t>op</w:t>
      </w:r>
      <w:r w:rsidR="00032FBB" w:rsidRPr="00624DCE">
        <w:rPr>
          <w:rFonts w:eastAsia="Calibri" w:cs="Times New Roman"/>
          <w:szCs w:val="24"/>
        </w:rPr>
        <w:t xml:space="preserve">y </w:t>
      </w:r>
      <w:r w:rsidR="00731361" w:rsidRPr="00624DCE">
        <w:rPr>
          <w:rFonts w:eastAsia="Calibri" w:cs="Times New Roman"/>
          <w:szCs w:val="24"/>
        </w:rPr>
        <w:t xml:space="preserve">of the NOPV </w:t>
      </w:r>
      <w:r w:rsidR="007A20C3">
        <w:rPr>
          <w:rFonts w:eastAsia="Calibri" w:cs="Times New Roman"/>
          <w:szCs w:val="24"/>
        </w:rPr>
        <w:t>is attached as</w:t>
      </w:r>
      <w:r w:rsidR="002D170D">
        <w:rPr>
          <w:rFonts w:eastAsia="Calibri" w:cs="Times New Roman"/>
          <w:szCs w:val="24"/>
        </w:rPr>
        <w:t xml:space="preserve"> Exhibit “</w:t>
      </w:r>
      <w:r w:rsidR="007A20C3">
        <w:rPr>
          <w:rFonts w:eastAsia="Calibri" w:cs="Times New Roman"/>
          <w:szCs w:val="24"/>
        </w:rPr>
        <w:t>B</w:t>
      </w:r>
      <w:r w:rsidR="002D170D">
        <w:rPr>
          <w:rFonts w:eastAsia="Calibri" w:cs="Times New Roman"/>
          <w:szCs w:val="24"/>
        </w:rPr>
        <w:t>”</w:t>
      </w:r>
      <w:r w:rsidR="007A20C3">
        <w:rPr>
          <w:rFonts w:eastAsia="Calibri" w:cs="Times New Roman"/>
          <w:szCs w:val="24"/>
        </w:rPr>
        <w:t>;</w:t>
      </w:r>
      <w:r w:rsidR="00731361" w:rsidRPr="00624DCE">
        <w:rPr>
          <w:rFonts w:eastAsia="Calibri" w:cs="Times New Roman"/>
          <w:szCs w:val="24"/>
        </w:rPr>
        <w:t xml:space="preserve"> and</w:t>
      </w:r>
    </w:p>
    <w:p w14:paraId="54EC5B8E" w14:textId="08D31B7E" w:rsidR="00731361" w:rsidRPr="001B3E87" w:rsidRDefault="00731361" w:rsidP="008758A8">
      <w:pPr>
        <w:spacing w:line="480" w:lineRule="auto"/>
        <w:jc w:val="both"/>
        <w:rPr>
          <w:rFonts w:eastAsia="Times New Roman" w:cs="Times New Roman"/>
          <w:bCs/>
          <w:szCs w:val="24"/>
        </w:rPr>
      </w:pPr>
      <w:r w:rsidRPr="00624DCE">
        <w:rPr>
          <w:rFonts w:eastAsia="Calibri" w:cs="Times New Roman"/>
          <w:szCs w:val="24"/>
        </w:rPr>
        <w:tab/>
      </w:r>
      <w:r w:rsidRPr="00624DCE">
        <w:rPr>
          <w:rFonts w:eastAsia="Calibri" w:cs="Times New Roman"/>
          <w:b/>
          <w:bCs/>
          <w:szCs w:val="24"/>
        </w:rPr>
        <w:t>WHEREAS</w:t>
      </w:r>
      <w:r w:rsidRPr="00624DCE">
        <w:rPr>
          <w:rFonts w:eastAsia="Calibri" w:cs="Times New Roman"/>
          <w:bCs/>
          <w:szCs w:val="24"/>
        </w:rPr>
        <w:t xml:space="preserve">, </w:t>
      </w:r>
      <w:r w:rsidR="009D79BB" w:rsidRPr="00043D8C">
        <w:rPr>
          <w:rFonts w:eastAsia="Times New Roman" w:cs="Times New Roman"/>
          <w:bCs/>
          <w:szCs w:val="24"/>
        </w:rPr>
        <w:t>Staff recommended in the NOPV that the Commission impose a civil penalty of $</w:t>
      </w:r>
      <w:r w:rsidR="009D79BB">
        <w:rPr>
          <w:rFonts w:eastAsia="Times New Roman" w:cs="Times New Roman"/>
          <w:bCs/>
          <w:szCs w:val="24"/>
        </w:rPr>
        <w:t>100</w:t>
      </w:r>
      <w:r w:rsidR="009D79BB" w:rsidRPr="00043D8C">
        <w:rPr>
          <w:rFonts w:eastAsia="Times New Roman" w:cs="Times New Roman"/>
          <w:bCs/>
          <w:szCs w:val="24"/>
        </w:rPr>
        <w:t xml:space="preserve">.00 for </w:t>
      </w:r>
      <w:r w:rsidR="009D79BB">
        <w:rPr>
          <w:rFonts w:eastAsia="Times New Roman" w:cs="Times New Roman"/>
          <w:bCs/>
          <w:szCs w:val="24"/>
        </w:rPr>
        <w:t>the first</w:t>
      </w:r>
      <w:r w:rsidR="009D79BB" w:rsidRPr="00043D8C">
        <w:rPr>
          <w:rFonts w:eastAsia="Times New Roman" w:cs="Times New Roman"/>
          <w:bCs/>
          <w:szCs w:val="24"/>
        </w:rPr>
        <w:t xml:space="preserve"> potential violation of </w:t>
      </w:r>
      <w:r w:rsidR="00DB7753">
        <w:rPr>
          <w:rFonts w:eastAsia="Times New Roman" w:cs="Times New Roman"/>
          <w:bCs/>
          <w:szCs w:val="24"/>
        </w:rPr>
        <w:t>the</w:t>
      </w:r>
      <w:r w:rsidR="009D79BB">
        <w:rPr>
          <w:rFonts w:eastAsia="Times New Roman" w:cs="Times New Roman"/>
          <w:bCs/>
          <w:szCs w:val="24"/>
        </w:rPr>
        <w:t xml:space="preserve"> Damage Prevention Act</w:t>
      </w:r>
      <w:r w:rsidR="009D79BB" w:rsidRPr="00043D8C">
        <w:rPr>
          <w:rFonts w:eastAsia="Times New Roman" w:cs="Times New Roman"/>
          <w:bCs/>
          <w:szCs w:val="24"/>
        </w:rPr>
        <w:t>, a civil penalty of $</w:t>
      </w:r>
      <w:r w:rsidR="009D79BB">
        <w:rPr>
          <w:rFonts w:eastAsia="Times New Roman" w:cs="Times New Roman"/>
          <w:bCs/>
          <w:szCs w:val="24"/>
        </w:rPr>
        <w:t>2</w:t>
      </w:r>
      <w:r w:rsidR="009D79BB" w:rsidRPr="00043D8C">
        <w:rPr>
          <w:rFonts w:eastAsia="Times New Roman" w:cs="Times New Roman"/>
          <w:bCs/>
          <w:szCs w:val="24"/>
        </w:rPr>
        <w:t>00.00</w:t>
      </w:r>
      <w:r w:rsidR="00DB7753">
        <w:rPr>
          <w:rFonts w:eastAsia="Times New Roman" w:cs="Times New Roman"/>
          <w:bCs/>
          <w:szCs w:val="24"/>
        </w:rPr>
        <w:t xml:space="preserve"> </w:t>
      </w:r>
      <w:r w:rsidR="009D79BB" w:rsidRPr="00043D8C">
        <w:rPr>
          <w:rFonts w:eastAsia="Times New Roman" w:cs="Times New Roman"/>
          <w:bCs/>
          <w:szCs w:val="24"/>
        </w:rPr>
        <w:t xml:space="preserve">for </w:t>
      </w:r>
      <w:r w:rsidR="009D79BB">
        <w:rPr>
          <w:rFonts w:eastAsia="Times New Roman" w:cs="Times New Roman"/>
          <w:bCs/>
          <w:szCs w:val="24"/>
        </w:rPr>
        <w:t>the</w:t>
      </w:r>
      <w:r w:rsidR="00DB7753">
        <w:rPr>
          <w:rFonts w:eastAsia="Times New Roman" w:cs="Times New Roman"/>
          <w:bCs/>
          <w:szCs w:val="24"/>
        </w:rPr>
        <w:t xml:space="preserve"> </w:t>
      </w:r>
      <w:r w:rsidR="009D79BB">
        <w:rPr>
          <w:rFonts w:eastAsia="Times New Roman" w:cs="Times New Roman"/>
          <w:bCs/>
          <w:szCs w:val="24"/>
        </w:rPr>
        <w:t>subsequent</w:t>
      </w:r>
      <w:r w:rsidR="009D79BB" w:rsidRPr="00043D8C">
        <w:rPr>
          <w:rFonts w:eastAsia="Times New Roman" w:cs="Times New Roman"/>
          <w:bCs/>
          <w:szCs w:val="24"/>
        </w:rPr>
        <w:t xml:space="preserve"> potential violation of </w:t>
      </w:r>
      <w:r w:rsidR="009D79BB">
        <w:rPr>
          <w:rFonts w:eastAsia="Times New Roman" w:cs="Times New Roman"/>
          <w:bCs/>
          <w:szCs w:val="24"/>
        </w:rPr>
        <w:t>Damage Prevention Ac</w:t>
      </w:r>
      <w:r w:rsidR="00DB7753">
        <w:rPr>
          <w:rFonts w:eastAsia="Times New Roman" w:cs="Times New Roman"/>
          <w:bCs/>
          <w:szCs w:val="24"/>
        </w:rPr>
        <w:t>t.</w:t>
      </w:r>
      <w:r w:rsidR="009D79BB" w:rsidRPr="00043D8C">
        <w:rPr>
          <w:rFonts w:eastAsia="Times New Roman" w:cs="Times New Roman"/>
          <w:bCs/>
          <w:szCs w:val="24"/>
        </w:rPr>
        <w:t xml:space="preserve">  Thus, the total amount of recommended civil penalties made by Staff was $</w:t>
      </w:r>
      <w:r w:rsidR="00941874">
        <w:rPr>
          <w:rFonts w:eastAsia="Times New Roman" w:cs="Times New Roman"/>
          <w:bCs/>
          <w:szCs w:val="24"/>
        </w:rPr>
        <w:t>3</w:t>
      </w:r>
      <w:r w:rsidR="00DB7753" w:rsidRPr="001B2A6D">
        <w:rPr>
          <w:rFonts w:eastAsia="Times New Roman" w:cs="Times New Roman"/>
          <w:bCs/>
          <w:szCs w:val="24"/>
        </w:rPr>
        <w:t>00.00</w:t>
      </w:r>
      <w:r w:rsidR="00E81DC3" w:rsidRPr="00624DCE">
        <w:rPr>
          <w:rFonts w:eastAsia="Calibri" w:cs="Times New Roman"/>
          <w:bCs/>
          <w:szCs w:val="24"/>
        </w:rPr>
        <w:t xml:space="preserve"> </w:t>
      </w:r>
      <w:r w:rsidRPr="00624DCE">
        <w:rPr>
          <w:rFonts w:eastAsia="Calibri" w:cs="Times New Roman"/>
          <w:bCs/>
          <w:szCs w:val="24"/>
        </w:rPr>
        <w:t>(the “Civil Penalties”); and</w:t>
      </w:r>
    </w:p>
    <w:p w14:paraId="14ADC9DF" w14:textId="43B5ECB8" w:rsidR="008758A8" w:rsidRPr="008758A8" w:rsidRDefault="00731361" w:rsidP="008758A8">
      <w:pPr>
        <w:spacing w:line="480" w:lineRule="auto"/>
        <w:jc w:val="both"/>
        <w:rPr>
          <w:rFonts w:eastAsia="Calibri" w:cs="Times New Roman"/>
          <w:bCs/>
          <w:szCs w:val="24"/>
        </w:rPr>
      </w:pPr>
      <w:r w:rsidRPr="008758A8">
        <w:rPr>
          <w:rFonts w:eastAsia="Calibri" w:cs="Times New Roman"/>
          <w:bCs/>
          <w:szCs w:val="24"/>
        </w:rPr>
        <w:tab/>
      </w:r>
      <w:r w:rsidRPr="008758A8">
        <w:rPr>
          <w:rFonts w:eastAsia="Calibri" w:cs="Times New Roman"/>
          <w:b/>
          <w:bCs/>
          <w:szCs w:val="24"/>
        </w:rPr>
        <w:t>WHEREAS</w:t>
      </w:r>
      <w:r w:rsidRPr="008758A8">
        <w:rPr>
          <w:rFonts w:eastAsia="Calibri" w:cs="Times New Roman"/>
          <w:bCs/>
          <w:szCs w:val="24"/>
        </w:rPr>
        <w:t xml:space="preserve">, </w:t>
      </w:r>
      <w:r w:rsidR="002D170D" w:rsidRPr="008758A8">
        <w:rPr>
          <w:rFonts w:eastAsia="Calibri" w:cs="Times New Roman"/>
          <w:bCs/>
          <w:szCs w:val="24"/>
        </w:rPr>
        <w:t>the Company did not respond to the NOPV;</w:t>
      </w:r>
      <w:r w:rsidR="002D170D" w:rsidRPr="008758A8">
        <w:rPr>
          <w:rStyle w:val="FootnoteReference"/>
          <w:rFonts w:eastAsia="Calibri" w:cs="Times New Roman"/>
          <w:bCs/>
          <w:szCs w:val="24"/>
        </w:rPr>
        <w:footnoteReference w:id="5"/>
      </w:r>
      <w:r w:rsidR="008758A8" w:rsidRPr="008758A8">
        <w:rPr>
          <w:rFonts w:eastAsia="Calibri" w:cs="Times New Roman"/>
          <w:bCs/>
          <w:szCs w:val="24"/>
        </w:rPr>
        <w:t xml:space="preserve"> and</w:t>
      </w:r>
    </w:p>
    <w:p w14:paraId="3405C5E2" w14:textId="77777777" w:rsidR="008758A8" w:rsidRDefault="008758A8" w:rsidP="008758A8">
      <w:pPr>
        <w:shd w:val="clear" w:color="auto" w:fill="FFFFFF"/>
        <w:spacing w:line="480" w:lineRule="auto"/>
        <w:ind w:firstLine="720"/>
        <w:jc w:val="both"/>
        <w:rPr>
          <w:rFonts w:eastAsia="Times New Roman" w:cs="Times New Roman"/>
          <w:color w:val="000000"/>
          <w:szCs w:val="24"/>
        </w:rPr>
      </w:pPr>
      <w:r w:rsidRPr="008758A8">
        <w:rPr>
          <w:rFonts w:eastAsia="Calibri" w:cs="Times New Roman"/>
          <w:b/>
          <w:szCs w:val="24"/>
        </w:rPr>
        <w:lastRenderedPageBreak/>
        <w:t xml:space="preserve">WHEREAS, </w:t>
      </w:r>
      <w:r w:rsidRPr="008758A8">
        <w:rPr>
          <w:rFonts w:cs="Times New Roman"/>
        </w:rPr>
        <w:t xml:space="preserve">26 </w:t>
      </w:r>
      <w:r w:rsidRPr="001C1454">
        <w:rPr>
          <w:rFonts w:cs="Times New Roman"/>
          <w:i/>
          <w:iCs/>
        </w:rPr>
        <w:t>Del. Admin. C.</w:t>
      </w:r>
      <w:r w:rsidRPr="008758A8">
        <w:rPr>
          <w:rFonts w:cs="Times New Roman"/>
        </w:rPr>
        <w:t xml:space="preserve"> § 8002-</w:t>
      </w:r>
      <w:r w:rsidRPr="008758A8">
        <w:rPr>
          <w:rFonts w:eastAsia="Times New Roman" w:cs="Times New Roman"/>
          <w:color w:val="000000"/>
          <w:szCs w:val="24"/>
        </w:rPr>
        <w:t xml:space="preserve">7.3.2 provides, </w:t>
      </w:r>
    </w:p>
    <w:p w14:paraId="3547307A" w14:textId="2A3E7F31" w:rsidR="008758A8" w:rsidRPr="008758A8" w:rsidRDefault="008758A8" w:rsidP="008758A8">
      <w:pPr>
        <w:shd w:val="clear" w:color="auto" w:fill="FFFFFF"/>
        <w:ind w:left="432"/>
        <w:jc w:val="both"/>
        <w:rPr>
          <w:rFonts w:eastAsia="Times New Roman" w:cs="Times New Roman"/>
          <w:color w:val="000000"/>
          <w:szCs w:val="24"/>
        </w:rPr>
      </w:pPr>
      <w:r w:rsidRPr="008758A8">
        <w:rPr>
          <w:rFonts w:eastAsia="Times New Roman" w:cs="Times New Roman"/>
          <w:color w:val="000000"/>
          <w:szCs w:val="24"/>
        </w:rPr>
        <w:t>“</w:t>
      </w:r>
      <w:r w:rsidRPr="00B35874">
        <w:rPr>
          <w:rFonts w:eastAsia="Times New Roman" w:cs="Times New Roman"/>
          <w:b/>
          <w:bCs/>
          <w:color w:val="000000"/>
          <w:szCs w:val="24"/>
        </w:rPr>
        <w:t>Failure of the respondent to respond in accordance with subsection 7.3.1.1, 7.3.1.2, or 7.3.1.3 shall constitute a waiver of the respondent's right to contest the allegations in the NOPV and authorizes the Commission, upon 30 days' notice to the respondent, to find the facts to be as alleged in the NOPV and to issue a final order under subsection 7.5 of this regulation.</w:t>
      </w:r>
      <w:r w:rsidRPr="008758A8">
        <w:rPr>
          <w:rFonts w:eastAsia="Times New Roman" w:cs="Times New Roman"/>
          <w:color w:val="000000"/>
          <w:szCs w:val="24"/>
        </w:rPr>
        <w:t xml:space="preserve"> Prior to the Commission's issuance of a final order under this subsection, the respondent may submit a written plan to the Commission specifying actions that the respondent will take to correct the alleged violation, a schedule for completion of each action step, a final date of completion, and payment of any proposed penalty. If the Commission accepts the corrective plan submitted by the respondent, the Commission may issue a consent order in accordance with subsection 7.4.</w:t>
      </w:r>
      <w:r>
        <w:rPr>
          <w:rFonts w:eastAsia="Times New Roman" w:cs="Times New Roman"/>
          <w:color w:val="000000"/>
          <w:szCs w:val="24"/>
        </w:rPr>
        <w:t>”</w:t>
      </w:r>
    </w:p>
    <w:p w14:paraId="464FAA03" w14:textId="77777777" w:rsidR="008758A8" w:rsidRPr="008758A8" w:rsidRDefault="008758A8" w:rsidP="008758A8">
      <w:pPr>
        <w:shd w:val="clear" w:color="auto" w:fill="FFFFFF"/>
        <w:spacing w:line="320" w:lineRule="atLeast"/>
        <w:ind w:firstLine="720"/>
        <w:jc w:val="both"/>
        <w:rPr>
          <w:rFonts w:ascii="Source Sans Pro" w:eastAsia="Times New Roman" w:hAnsi="Source Sans Pro" w:cs="Times New Roman"/>
          <w:color w:val="000000"/>
          <w:szCs w:val="24"/>
        </w:rPr>
      </w:pPr>
    </w:p>
    <w:p w14:paraId="38E73035" w14:textId="3351B9B2" w:rsidR="000B628B" w:rsidRDefault="00731361" w:rsidP="008758A8">
      <w:pPr>
        <w:spacing w:line="480" w:lineRule="auto"/>
        <w:jc w:val="both"/>
        <w:rPr>
          <w:rFonts w:eastAsia="Calibri" w:cs="Times New Roman"/>
          <w:szCs w:val="24"/>
        </w:rPr>
      </w:pPr>
      <w:r w:rsidRPr="00624DCE">
        <w:rPr>
          <w:rFonts w:eastAsia="Calibri" w:cs="Times New Roman"/>
          <w:b/>
          <w:szCs w:val="24"/>
        </w:rPr>
        <w:tab/>
        <w:t>WHEREAS</w:t>
      </w:r>
      <w:r w:rsidRPr="00624DCE">
        <w:rPr>
          <w:rFonts w:eastAsia="Calibri" w:cs="Times New Roman"/>
          <w:szCs w:val="24"/>
        </w:rPr>
        <w:t xml:space="preserve">, </w:t>
      </w:r>
      <w:r w:rsidR="008758A8">
        <w:rPr>
          <w:rFonts w:eastAsia="Calibri" w:cs="Times New Roman"/>
          <w:szCs w:val="24"/>
        </w:rPr>
        <w:t xml:space="preserve">on August 10, 2023, </w:t>
      </w:r>
      <w:r w:rsidRPr="00624DCE">
        <w:rPr>
          <w:rFonts w:eastAsia="Calibri" w:cs="Times New Roman"/>
          <w:szCs w:val="24"/>
        </w:rPr>
        <w:t xml:space="preserve">Staff </w:t>
      </w:r>
      <w:r w:rsidR="008758A8">
        <w:rPr>
          <w:rFonts w:eastAsia="Calibri" w:cs="Times New Roman"/>
          <w:szCs w:val="24"/>
        </w:rPr>
        <w:t xml:space="preserve">sent the Company a failure to respond letter (“Notice to Respondent”), attached as Exhibit “C”, detailing the Company’s rights under 26 </w:t>
      </w:r>
      <w:r w:rsidR="008758A8" w:rsidRPr="00B35874">
        <w:rPr>
          <w:rFonts w:eastAsia="Calibri" w:cs="Times New Roman"/>
          <w:i/>
          <w:iCs/>
          <w:szCs w:val="24"/>
        </w:rPr>
        <w:t>Del. Admin. C.</w:t>
      </w:r>
      <w:r w:rsidR="008758A8">
        <w:rPr>
          <w:rFonts w:eastAsia="Calibri" w:cs="Times New Roman"/>
          <w:szCs w:val="24"/>
        </w:rPr>
        <w:t xml:space="preserve"> § 8002-7.3.2. Staff did not receive a response to the Notice to Respondent;</w:t>
      </w:r>
      <w:r w:rsidR="00B35874">
        <w:rPr>
          <w:rFonts w:eastAsia="Calibri" w:cs="Times New Roman"/>
          <w:szCs w:val="24"/>
        </w:rPr>
        <w:t xml:space="preserve"> and</w:t>
      </w:r>
    </w:p>
    <w:p w14:paraId="5C914637" w14:textId="7160D1B8" w:rsidR="008758A8" w:rsidRPr="008758A8" w:rsidRDefault="008758A8" w:rsidP="008758A8">
      <w:pPr>
        <w:spacing w:line="480" w:lineRule="auto"/>
        <w:ind w:firstLine="720"/>
        <w:jc w:val="both"/>
        <w:rPr>
          <w:rFonts w:eastAsia="Calibri" w:cs="Times New Roman"/>
          <w:bCs/>
          <w:szCs w:val="24"/>
        </w:rPr>
      </w:pPr>
      <w:r w:rsidRPr="00624DCE">
        <w:rPr>
          <w:rFonts w:eastAsia="Calibri" w:cs="Times New Roman"/>
          <w:b/>
          <w:szCs w:val="24"/>
        </w:rPr>
        <w:t>WHEREAS</w:t>
      </w:r>
      <w:r>
        <w:rPr>
          <w:rFonts w:eastAsia="Calibri" w:cs="Times New Roman"/>
          <w:b/>
          <w:szCs w:val="24"/>
        </w:rPr>
        <w:t xml:space="preserve">, </w:t>
      </w:r>
      <w:r w:rsidRPr="008758A8">
        <w:rPr>
          <w:rFonts w:eastAsia="Calibri" w:cs="Times New Roman"/>
          <w:bCs/>
          <w:szCs w:val="24"/>
        </w:rPr>
        <w:t>Staff submits</w:t>
      </w:r>
      <w:r>
        <w:rPr>
          <w:rFonts w:eastAsia="Calibri" w:cs="Times New Roman"/>
          <w:b/>
          <w:szCs w:val="24"/>
        </w:rPr>
        <w:t xml:space="preserve"> </w:t>
      </w:r>
      <w:r w:rsidRPr="008758A8">
        <w:rPr>
          <w:rFonts w:eastAsia="Calibri" w:cs="Times New Roman"/>
          <w:bCs/>
          <w:szCs w:val="24"/>
        </w:rPr>
        <w:t xml:space="preserve">it has been thirty (30) days since </w:t>
      </w:r>
      <w:r>
        <w:rPr>
          <w:rFonts w:eastAsia="Calibri" w:cs="Times New Roman"/>
          <w:szCs w:val="24"/>
        </w:rPr>
        <w:t>Notice to Respondent was sent to the Company and requests that the Commission to find the facts to be as alleged in the NOPV;</w:t>
      </w:r>
    </w:p>
    <w:p w14:paraId="3C12A059" w14:textId="3E0F3BC2" w:rsidR="00731361" w:rsidRPr="00624DCE" w:rsidRDefault="00731361" w:rsidP="001C1454">
      <w:pPr>
        <w:jc w:val="center"/>
        <w:rPr>
          <w:rFonts w:eastAsia="Times New Roman" w:cs="Times New Roman"/>
          <w:b/>
          <w:bCs/>
          <w:szCs w:val="24"/>
        </w:rPr>
      </w:pPr>
      <w:r w:rsidRPr="00624DCE">
        <w:rPr>
          <w:rFonts w:eastAsia="Times New Roman" w:cs="Times New Roman"/>
          <w:b/>
          <w:bCs/>
          <w:szCs w:val="24"/>
        </w:rPr>
        <w:t>NOW, THEREFORE, IT IS ORDERED BY THE AFFIRMATIVE</w:t>
      </w:r>
    </w:p>
    <w:p w14:paraId="319E4A7A" w14:textId="77777777" w:rsidR="00731361" w:rsidRPr="00624DCE" w:rsidRDefault="00731361" w:rsidP="001C1454">
      <w:pPr>
        <w:jc w:val="center"/>
        <w:rPr>
          <w:rFonts w:eastAsia="Times New Roman" w:cs="Times New Roman"/>
          <w:b/>
          <w:bCs/>
          <w:szCs w:val="24"/>
        </w:rPr>
      </w:pPr>
      <w:r w:rsidRPr="00624DCE">
        <w:rPr>
          <w:rFonts w:eastAsia="Times New Roman" w:cs="Times New Roman"/>
          <w:b/>
          <w:bCs/>
          <w:szCs w:val="24"/>
        </w:rPr>
        <w:t>VOTE OF NOT FEWER THAN THREE COMMISSIONERS:</w:t>
      </w:r>
    </w:p>
    <w:p w14:paraId="209C037D" w14:textId="77777777" w:rsidR="004B48A3" w:rsidRPr="00624DCE" w:rsidRDefault="004B48A3" w:rsidP="008758A8">
      <w:pPr>
        <w:jc w:val="both"/>
        <w:rPr>
          <w:rFonts w:eastAsia="Times New Roman" w:cs="Times New Roman"/>
          <w:bCs/>
          <w:szCs w:val="24"/>
        </w:rPr>
      </w:pPr>
    </w:p>
    <w:p w14:paraId="1C3E8BBC" w14:textId="422CFB1C" w:rsidR="00731361" w:rsidRPr="00D00575" w:rsidRDefault="00731361" w:rsidP="00D00575">
      <w:pPr>
        <w:spacing w:line="480" w:lineRule="auto"/>
        <w:jc w:val="both"/>
        <w:rPr>
          <w:rFonts w:eastAsia="Calibri" w:cs="Times New Roman"/>
          <w:szCs w:val="24"/>
        </w:rPr>
      </w:pPr>
      <w:r w:rsidRPr="00D00575">
        <w:rPr>
          <w:rFonts w:eastAsia="Calibri" w:cs="Times New Roman"/>
          <w:szCs w:val="24"/>
        </w:rPr>
        <w:tab/>
        <w:t>1.</w:t>
      </w:r>
      <w:r w:rsidRPr="00D00575">
        <w:rPr>
          <w:rFonts w:eastAsia="Calibri" w:cs="Times New Roman"/>
          <w:szCs w:val="24"/>
        </w:rPr>
        <w:tab/>
        <w:t xml:space="preserve">Pursuant to 26 </w:t>
      </w:r>
      <w:r w:rsidRPr="00D00575">
        <w:rPr>
          <w:rFonts w:eastAsia="Calibri" w:cs="Times New Roman"/>
          <w:i/>
          <w:iCs/>
          <w:szCs w:val="24"/>
        </w:rPr>
        <w:t>Del</w:t>
      </w:r>
      <w:r w:rsidR="001B3E87" w:rsidRPr="00D00575">
        <w:rPr>
          <w:rFonts w:eastAsia="Calibri" w:cs="Times New Roman"/>
          <w:i/>
          <w:iCs/>
          <w:szCs w:val="24"/>
        </w:rPr>
        <w:t>. Admin</w:t>
      </w:r>
      <w:r w:rsidRPr="00D00575">
        <w:rPr>
          <w:rFonts w:eastAsia="Calibri" w:cs="Times New Roman"/>
          <w:i/>
          <w:iCs/>
          <w:szCs w:val="24"/>
        </w:rPr>
        <w:t>. C.</w:t>
      </w:r>
      <w:r w:rsidRPr="00D00575">
        <w:rPr>
          <w:rFonts w:eastAsia="Calibri" w:cs="Times New Roman"/>
          <w:szCs w:val="24"/>
        </w:rPr>
        <w:t xml:space="preserve"> §</w:t>
      </w:r>
      <w:r w:rsidR="006448BA" w:rsidRPr="00D00575">
        <w:rPr>
          <w:rFonts w:eastAsia="Calibri" w:cs="Times New Roman"/>
          <w:szCs w:val="24"/>
        </w:rPr>
        <w:t xml:space="preserve"> </w:t>
      </w:r>
      <w:r w:rsidR="001B3E87" w:rsidRPr="00D00575">
        <w:rPr>
          <w:rFonts w:eastAsia="Calibri" w:cs="Times New Roman"/>
          <w:szCs w:val="24"/>
        </w:rPr>
        <w:t>8002-7.</w:t>
      </w:r>
      <w:r w:rsidR="008758A8" w:rsidRPr="00D00575">
        <w:rPr>
          <w:rFonts w:eastAsia="Calibri" w:cs="Times New Roman"/>
          <w:szCs w:val="24"/>
        </w:rPr>
        <w:t>3</w:t>
      </w:r>
      <w:r w:rsidR="001B3E87" w:rsidRPr="00D00575">
        <w:rPr>
          <w:rFonts w:eastAsia="Calibri" w:cs="Times New Roman"/>
          <w:szCs w:val="24"/>
        </w:rPr>
        <w:t>.</w:t>
      </w:r>
      <w:r w:rsidR="008758A8" w:rsidRPr="00D00575">
        <w:rPr>
          <w:rFonts w:eastAsia="Calibri" w:cs="Times New Roman"/>
          <w:szCs w:val="24"/>
        </w:rPr>
        <w:t>2</w:t>
      </w:r>
      <w:r w:rsidRPr="00D00575">
        <w:rPr>
          <w:rFonts w:eastAsia="Calibri" w:cs="Times New Roman"/>
          <w:szCs w:val="24"/>
        </w:rPr>
        <w:t xml:space="preserve">, the Commission finds </w:t>
      </w:r>
      <w:r w:rsidR="008758A8" w:rsidRPr="00D00575">
        <w:rPr>
          <w:rFonts w:eastAsia="Calibri" w:cs="Times New Roman"/>
          <w:szCs w:val="24"/>
        </w:rPr>
        <w:t>facts to be as alleged in the Notice of Probable Violation to the Company dated June 13, 2023.</w:t>
      </w:r>
    </w:p>
    <w:p w14:paraId="26835D0D" w14:textId="1417BEB8" w:rsidR="00731361" w:rsidRPr="00D00575" w:rsidRDefault="00731361" w:rsidP="00D00575">
      <w:pPr>
        <w:spacing w:line="480" w:lineRule="auto"/>
        <w:jc w:val="both"/>
        <w:rPr>
          <w:rFonts w:eastAsia="Calibri" w:cs="Times New Roman"/>
          <w:szCs w:val="24"/>
        </w:rPr>
      </w:pPr>
      <w:r w:rsidRPr="00D00575">
        <w:rPr>
          <w:rFonts w:eastAsia="Calibri" w:cs="Times New Roman"/>
          <w:szCs w:val="24"/>
        </w:rPr>
        <w:tab/>
        <w:t>2.</w:t>
      </w:r>
      <w:r w:rsidRPr="00D00575">
        <w:rPr>
          <w:rFonts w:eastAsia="Calibri" w:cs="Times New Roman"/>
          <w:szCs w:val="24"/>
        </w:rPr>
        <w:tab/>
        <w:t xml:space="preserve">Pursuant to 26 </w:t>
      </w:r>
      <w:r w:rsidRPr="00D00575">
        <w:rPr>
          <w:rFonts w:eastAsia="Calibri" w:cs="Times New Roman"/>
          <w:i/>
          <w:iCs/>
          <w:szCs w:val="24"/>
        </w:rPr>
        <w:t>Del. Admin. C.</w:t>
      </w:r>
      <w:r w:rsidRPr="00D00575">
        <w:rPr>
          <w:rFonts w:eastAsia="Calibri" w:cs="Times New Roman"/>
          <w:szCs w:val="24"/>
        </w:rPr>
        <w:t xml:space="preserve"> §</w:t>
      </w:r>
      <w:r w:rsidR="006448BA" w:rsidRPr="00D00575">
        <w:rPr>
          <w:rFonts w:eastAsia="Calibri" w:cs="Times New Roman"/>
          <w:szCs w:val="24"/>
        </w:rPr>
        <w:t xml:space="preserve"> </w:t>
      </w:r>
      <w:r w:rsidRPr="00D00575">
        <w:rPr>
          <w:rFonts w:eastAsia="Calibri" w:cs="Times New Roman"/>
          <w:szCs w:val="24"/>
        </w:rPr>
        <w:t>800</w:t>
      </w:r>
      <w:r w:rsidR="001B3E87" w:rsidRPr="00D00575">
        <w:rPr>
          <w:rFonts w:eastAsia="Calibri" w:cs="Times New Roman"/>
          <w:szCs w:val="24"/>
        </w:rPr>
        <w:t>2</w:t>
      </w:r>
      <w:r w:rsidRPr="00D00575">
        <w:rPr>
          <w:rFonts w:eastAsia="Calibri" w:cs="Times New Roman"/>
          <w:szCs w:val="24"/>
        </w:rPr>
        <w:t>-7.</w:t>
      </w:r>
      <w:r w:rsidR="001B3E87" w:rsidRPr="00D00575">
        <w:rPr>
          <w:rFonts w:eastAsia="Calibri" w:cs="Times New Roman"/>
          <w:szCs w:val="24"/>
        </w:rPr>
        <w:t xml:space="preserve">6 and 26 </w:t>
      </w:r>
      <w:r w:rsidR="001B3E87" w:rsidRPr="00D00575">
        <w:rPr>
          <w:rFonts w:eastAsia="Calibri" w:cs="Times New Roman"/>
          <w:i/>
          <w:iCs/>
          <w:szCs w:val="24"/>
        </w:rPr>
        <w:t>Del. C.</w:t>
      </w:r>
      <w:r w:rsidR="001B3E87" w:rsidRPr="00D00575">
        <w:rPr>
          <w:rFonts w:eastAsia="Calibri" w:cs="Times New Roman"/>
          <w:szCs w:val="24"/>
        </w:rPr>
        <w:t xml:space="preserve"> § 810</w:t>
      </w:r>
      <w:r w:rsidRPr="00D00575">
        <w:rPr>
          <w:rFonts w:eastAsia="Calibri" w:cs="Times New Roman"/>
          <w:szCs w:val="24"/>
        </w:rPr>
        <w:t xml:space="preserve">, the Commission assesses a civil penalty against </w:t>
      </w:r>
      <w:r w:rsidR="00E65469" w:rsidRPr="00D00575">
        <w:rPr>
          <w:rFonts w:eastAsia="Calibri" w:cs="Times New Roman"/>
          <w:szCs w:val="24"/>
        </w:rPr>
        <w:t>Company</w:t>
      </w:r>
      <w:r w:rsidRPr="00D00575">
        <w:rPr>
          <w:rFonts w:eastAsia="Calibri" w:cs="Times New Roman"/>
          <w:szCs w:val="24"/>
        </w:rPr>
        <w:t xml:space="preserve"> in the amount of $</w:t>
      </w:r>
      <w:r w:rsidR="00941874" w:rsidRPr="00D00575">
        <w:rPr>
          <w:rFonts w:eastAsia="Calibri" w:cs="Times New Roman"/>
          <w:szCs w:val="24"/>
        </w:rPr>
        <w:t>3</w:t>
      </w:r>
      <w:r w:rsidRPr="00D00575">
        <w:rPr>
          <w:rFonts w:eastAsia="Calibri" w:cs="Times New Roman"/>
          <w:szCs w:val="24"/>
        </w:rPr>
        <w:t xml:space="preserve">00.00 payable within </w:t>
      </w:r>
      <w:r w:rsidR="001B3E87" w:rsidRPr="00D00575">
        <w:rPr>
          <w:rFonts w:eastAsia="Calibri" w:cs="Times New Roman"/>
          <w:szCs w:val="24"/>
        </w:rPr>
        <w:t>thirty (30)</w:t>
      </w:r>
      <w:r w:rsidRPr="00D00575">
        <w:rPr>
          <w:rFonts w:eastAsia="Calibri" w:cs="Times New Roman"/>
          <w:szCs w:val="24"/>
        </w:rPr>
        <w:t xml:space="preserve"> days of </w:t>
      </w:r>
      <w:r w:rsidR="008758A8" w:rsidRPr="00D00575">
        <w:rPr>
          <w:rFonts w:eastAsia="Calibri" w:cs="Times New Roman"/>
          <w:szCs w:val="24"/>
        </w:rPr>
        <w:t>receipt of</w:t>
      </w:r>
      <w:r w:rsidRPr="00D00575">
        <w:rPr>
          <w:rFonts w:eastAsia="Calibri" w:cs="Times New Roman"/>
          <w:szCs w:val="24"/>
        </w:rPr>
        <w:t xml:space="preserve"> this Order. </w:t>
      </w:r>
    </w:p>
    <w:p w14:paraId="6DFC499F" w14:textId="761C8E10" w:rsidR="00B35874" w:rsidRPr="00D00575" w:rsidRDefault="00B35874" w:rsidP="00D00575">
      <w:pPr>
        <w:shd w:val="clear" w:color="auto" w:fill="FFFFFF"/>
        <w:spacing w:line="480" w:lineRule="auto"/>
        <w:jc w:val="both"/>
        <w:rPr>
          <w:rFonts w:eastAsia="Times New Roman" w:cs="Times New Roman"/>
          <w:color w:val="000000"/>
          <w:szCs w:val="24"/>
        </w:rPr>
      </w:pPr>
      <w:r w:rsidRPr="00D00575">
        <w:rPr>
          <w:rFonts w:eastAsia="Calibri" w:cs="Times New Roman"/>
          <w:szCs w:val="24"/>
        </w:rPr>
        <w:tab/>
        <w:t xml:space="preserve">3. </w:t>
      </w:r>
      <w:r w:rsidRPr="00D00575">
        <w:rPr>
          <w:rFonts w:eastAsia="Calibri" w:cs="Times New Roman"/>
          <w:szCs w:val="24"/>
        </w:rPr>
        <w:tab/>
        <w:t xml:space="preserve">Pursuant to 26 </w:t>
      </w:r>
      <w:r w:rsidRPr="00D00575">
        <w:rPr>
          <w:rFonts w:eastAsia="Calibri" w:cs="Times New Roman"/>
          <w:i/>
          <w:iCs/>
          <w:szCs w:val="24"/>
        </w:rPr>
        <w:t>Del. Admin. C.</w:t>
      </w:r>
      <w:r w:rsidRPr="00D00575">
        <w:rPr>
          <w:rFonts w:eastAsia="Calibri" w:cs="Times New Roman"/>
          <w:szCs w:val="24"/>
        </w:rPr>
        <w:t xml:space="preserve"> § 8002-7.7.2, </w:t>
      </w:r>
      <w:r w:rsidR="00D00575" w:rsidRPr="00D00575">
        <w:rPr>
          <w:rFonts w:eastAsia="Times New Roman" w:cs="Times New Roman"/>
          <w:color w:val="000000"/>
          <w:szCs w:val="24"/>
        </w:rPr>
        <w:t xml:space="preserve">if the Company </w:t>
      </w:r>
      <w:r w:rsidRPr="00D00575">
        <w:rPr>
          <w:rFonts w:eastAsia="Times New Roman" w:cs="Times New Roman"/>
          <w:color w:val="000000"/>
          <w:szCs w:val="24"/>
        </w:rPr>
        <w:t xml:space="preserve">fails to pay the full amount of a penalty assessed in a final order within </w:t>
      </w:r>
      <w:r w:rsidR="00D00575">
        <w:rPr>
          <w:rFonts w:eastAsia="Times New Roman" w:cs="Times New Roman"/>
          <w:color w:val="000000"/>
          <w:szCs w:val="24"/>
        </w:rPr>
        <w:t>thirty (</w:t>
      </w:r>
      <w:r w:rsidRPr="00D00575">
        <w:rPr>
          <w:rFonts w:eastAsia="Times New Roman" w:cs="Times New Roman"/>
          <w:color w:val="000000"/>
          <w:szCs w:val="24"/>
        </w:rPr>
        <w:t>30</w:t>
      </w:r>
      <w:r w:rsidR="00D00575">
        <w:rPr>
          <w:rFonts w:eastAsia="Times New Roman" w:cs="Times New Roman"/>
          <w:color w:val="000000"/>
          <w:szCs w:val="24"/>
        </w:rPr>
        <w:t>)</w:t>
      </w:r>
      <w:r w:rsidRPr="00D00575">
        <w:rPr>
          <w:rFonts w:eastAsia="Times New Roman" w:cs="Times New Roman"/>
          <w:color w:val="000000"/>
          <w:szCs w:val="24"/>
        </w:rPr>
        <w:t xml:space="preserve"> days after receipt of </w:t>
      </w:r>
      <w:r w:rsidR="00D00575">
        <w:rPr>
          <w:rFonts w:eastAsia="Times New Roman" w:cs="Times New Roman"/>
          <w:color w:val="000000"/>
          <w:szCs w:val="24"/>
        </w:rPr>
        <w:t xml:space="preserve">this </w:t>
      </w:r>
      <w:r w:rsidRPr="00D00575">
        <w:rPr>
          <w:rFonts w:eastAsia="Times New Roman" w:cs="Times New Roman"/>
          <w:color w:val="000000"/>
          <w:szCs w:val="24"/>
        </w:rPr>
        <w:t>order, the Commission may refer the case to the Attorney General with a request that an action to collect the assessed penalty be brought in any court of competent jurisdiction.</w:t>
      </w:r>
    </w:p>
    <w:p w14:paraId="0ED81E86" w14:textId="4082F918" w:rsidR="00B35874" w:rsidRPr="00624DCE" w:rsidRDefault="00D00575" w:rsidP="00D00575">
      <w:pPr>
        <w:spacing w:line="480" w:lineRule="auto"/>
        <w:ind w:firstLine="720"/>
        <w:jc w:val="both"/>
        <w:rPr>
          <w:rFonts w:eastAsia="Times New Roman" w:cs="Times New Roman"/>
          <w:szCs w:val="24"/>
        </w:rPr>
      </w:pPr>
      <w:r w:rsidRPr="00D00575">
        <w:rPr>
          <w:rFonts w:eastAsia="Times New Roman" w:cs="Times New Roman"/>
          <w:szCs w:val="24"/>
        </w:rPr>
        <w:lastRenderedPageBreak/>
        <w:t>4</w:t>
      </w:r>
      <w:r w:rsidR="00731361" w:rsidRPr="00D00575">
        <w:rPr>
          <w:rFonts w:eastAsia="Times New Roman" w:cs="Times New Roman"/>
          <w:szCs w:val="24"/>
        </w:rPr>
        <w:t>.</w:t>
      </w:r>
      <w:r w:rsidR="00731361" w:rsidRPr="00D00575">
        <w:rPr>
          <w:rFonts w:eastAsia="Times New Roman" w:cs="Times New Roman"/>
          <w:szCs w:val="24"/>
        </w:rPr>
        <w:tab/>
        <w:t>The Commission reserves the jurisdiction and authority to enter such further Orders in this matter as may be deemed necessary or proper.</w:t>
      </w:r>
    </w:p>
    <w:p w14:paraId="3B58A0DA" w14:textId="77777777" w:rsidR="00731361" w:rsidRPr="00624DCE" w:rsidRDefault="00731361" w:rsidP="00731361">
      <w:pPr>
        <w:ind w:left="4320"/>
        <w:jc w:val="both"/>
        <w:rPr>
          <w:rFonts w:eastAsia="Times New Roman" w:cs="Times New Roman"/>
          <w:b/>
          <w:szCs w:val="24"/>
        </w:rPr>
      </w:pPr>
      <w:r w:rsidRPr="00624DCE">
        <w:rPr>
          <w:rFonts w:eastAsia="Times New Roman" w:cs="Times New Roman"/>
          <w:b/>
          <w:szCs w:val="24"/>
        </w:rPr>
        <w:t>BY ORDER OF THE COMMISSION:</w:t>
      </w:r>
    </w:p>
    <w:p w14:paraId="2002FEDD" w14:textId="07CB36B4" w:rsidR="00731361" w:rsidRPr="00624DCE" w:rsidRDefault="00731361" w:rsidP="00731361">
      <w:pPr>
        <w:jc w:val="both"/>
        <w:rPr>
          <w:rFonts w:eastAsia="Times New Roman" w:cs="Times New Roman"/>
          <w:szCs w:val="24"/>
        </w:rPr>
      </w:pPr>
    </w:p>
    <w:p w14:paraId="2DF81776" w14:textId="77777777" w:rsidR="00731361" w:rsidRPr="00624DCE" w:rsidRDefault="00731361" w:rsidP="00731361">
      <w:pPr>
        <w:jc w:val="both"/>
        <w:rPr>
          <w:rFonts w:eastAsia="Times New Roman" w:cs="Times New Roman"/>
          <w:szCs w:val="24"/>
        </w:rPr>
      </w:pPr>
    </w:p>
    <w:p w14:paraId="678D846A" w14:textId="03567706"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001B3E87">
        <w:rPr>
          <w:rFonts w:eastAsia="Times New Roman" w:cs="Times New Roman"/>
          <w:szCs w:val="24"/>
        </w:rPr>
        <w:t xml:space="preserve">Dallas Winslow, </w:t>
      </w:r>
      <w:r w:rsidRPr="00624DCE">
        <w:rPr>
          <w:rFonts w:eastAsia="Times New Roman" w:cs="Times New Roman"/>
          <w:szCs w:val="24"/>
        </w:rPr>
        <w:t>Chair</w:t>
      </w:r>
      <w:r w:rsidR="00B7586C" w:rsidRPr="00624DCE">
        <w:rPr>
          <w:rFonts w:eastAsia="Times New Roman" w:cs="Times New Roman"/>
          <w:szCs w:val="24"/>
        </w:rPr>
        <w:t>ma</w:t>
      </w:r>
      <w:r w:rsidR="00901B0B">
        <w:rPr>
          <w:rFonts w:eastAsia="Times New Roman" w:cs="Times New Roman"/>
          <w:szCs w:val="24"/>
        </w:rPr>
        <w:t>n</w:t>
      </w:r>
    </w:p>
    <w:p w14:paraId="3B1DC999" w14:textId="77777777" w:rsidR="00731361" w:rsidRPr="00624DCE" w:rsidRDefault="00731361" w:rsidP="00731361">
      <w:pPr>
        <w:jc w:val="both"/>
        <w:rPr>
          <w:rFonts w:eastAsia="Times New Roman" w:cs="Times New Roman"/>
          <w:szCs w:val="24"/>
        </w:rPr>
      </w:pPr>
    </w:p>
    <w:p w14:paraId="00CBCC6D" w14:textId="77777777" w:rsidR="00731361" w:rsidRPr="00624DCE" w:rsidRDefault="00731361" w:rsidP="00731361">
      <w:pPr>
        <w:jc w:val="both"/>
        <w:rPr>
          <w:rFonts w:eastAsia="Times New Roman" w:cs="Times New Roman"/>
          <w:szCs w:val="24"/>
        </w:rPr>
      </w:pPr>
    </w:p>
    <w:p w14:paraId="256E1CE8" w14:textId="77777777"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p>
    <w:p w14:paraId="0C57C9AD" w14:textId="648DAC09"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001B3E87">
        <w:rPr>
          <w:rFonts w:eastAsia="Times New Roman" w:cs="Times New Roman"/>
          <w:szCs w:val="24"/>
        </w:rPr>
        <w:t xml:space="preserve">Joann Conaway, </w:t>
      </w:r>
      <w:r w:rsidRPr="00624DCE">
        <w:rPr>
          <w:rFonts w:eastAsia="Times New Roman" w:cs="Times New Roman"/>
          <w:szCs w:val="24"/>
        </w:rPr>
        <w:t>Commissioner</w:t>
      </w:r>
    </w:p>
    <w:p w14:paraId="5C7DB936" w14:textId="77777777" w:rsidR="001C1454" w:rsidRPr="00624DCE" w:rsidRDefault="001C1454" w:rsidP="00731361">
      <w:pPr>
        <w:jc w:val="both"/>
        <w:rPr>
          <w:rFonts w:eastAsia="Times New Roman" w:cs="Times New Roman"/>
          <w:szCs w:val="24"/>
        </w:rPr>
      </w:pPr>
    </w:p>
    <w:p w14:paraId="40C80335" w14:textId="6D88E912"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p>
    <w:p w14:paraId="542FD5EB" w14:textId="77777777"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p>
    <w:p w14:paraId="4A2E6971" w14:textId="619EBD89"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001B3E87">
        <w:rPr>
          <w:rFonts w:eastAsia="Times New Roman" w:cs="Times New Roman"/>
          <w:szCs w:val="24"/>
        </w:rPr>
        <w:t xml:space="preserve">Harold </w:t>
      </w:r>
      <w:r w:rsidR="00B0480C">
        <w:rPr>
          <w:rFonts w:eastAsia="Times New Roman" w:cs="Times New Roman"/>
          <w:szCs w:val="24"/>
        </w:rPr>
        <w:t xml:space="preserve">B. </w:t>
      </w:r>
      <w:r w:rsidR="001B3E87">
        <w:rPr>
          <w:rFonts w:eastAsia="Times New Roman" w:cs="Times New Roman"/>
          <w:szCs w:val="24"/>
        </w:rPr>
        <w:t xml:space="preserve">Gray, </w:t>
      </w:r>
      <w:r w:rsidRPr="00624DCE">
        <w:rPr>
          <w:rFonts w:eastAsia="Times New Roman" w:cs="Times New Roman"/>
          <w:szCs w:val="24"/>
        </w:rPr>
        <w:t>Commissioner</w:t>
      </w:r>
    </w:p>
    <w:p w14:paraId="3AF0FEEF" w14:textId="38625BCA" w:rsidR="00731361" w:rsidRDefault="00731361" w:rsidP="00731361">
      <w:pPr>
        <w:jc w:val="both"/>
        <w:rPr>
          <w:rFonts w:eastAsia="Times New Roman" w:cs="Times New Roman"/>
          <w:szCs w:val="24"/>
        </w:rPr>
      </w:pPr>
    </w:p>
    <w:p w14:paraId="30681ECA" w14:textId="77777777" w:rsidR="00901B0B" w:rsidRPr="00624DCE" w:rsidRDefault="00901B0B" w:rsidP="00731361">
      <w:pPr>
        <w:jc w:val="both"/>
        <w:rPr>
          <w:rFonts w:eastAsia="Times New Roman" w:cs="Times New Roman"/>
          <w:szCs w:val="24"/>
        </w:rPr>
      </w:pPr>
    </w:p>
    <w:p w14:paraId="4A70D89C" w14:textId="77777777"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p>
    <w:p w14:paraId="61EF220A" w14:textId="1BC64713" w:rsidR="00731361"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001B3E87">
        <w:rPr>
          <w:rFonts w:eastAsia="Times New Roman" w:cs="Times New Roman"/>
          <w:szCs w:val="24"/>
        </w:rPr>
        <w:t xml:space="preserve">Manubhai  Karia, </w:t>
      </w:r>
      <w:r w:rsidRPr="00624DCE">
        <w:rPr>
          <w:rFonts w:eastAsia="Times New Roman" w:cs="Times New Roman"/>
          <w:szCs w:val="24"/>
        </w:rPr>
        <w:t>Commissioner</w:t>
      </w:r>
    </w:p>
    <w:p w14:paraId="70783BFE" w14:textId="4FA268EC" w:rsidR="00901B0B" w:rsidRDefault="00901B0B" w:rsidP="00731361">
      <w:pPr>
        <w:jc w:val="both"/>
        <w:rPr>
          <w:rFonts w:eastAsia="Times New Roman" w:cs="Times New Roman"/>
          <w:szCs w:val="24"/>
        </w:rPr>
      </w:pPr>
    </w:p>
    <w:p w14:paraId="24A00412" w14:textId="77777777" w:rsidR="00901B0B" w:rsidRPr="00624DCE" w:rsidRDefault="00901B0B" w:rsidP="00731361">
      <w:pPr>
        <w:jc w:val="both"/>
        <w:rPr>
          <w:rFonts w:eastAsia="Times New Roman" w:cs="Times New Roman"/>
          <w:szCs w:val="24"/>
        </w:rPr>
      </w:pPr>
    </w:p>
    <w:p w14:paraId="2DF9B56C" w14:textId="49E520F1" w:rsidR="00731361" w:rsidRPr="00901B0B" w:rsidRDefault="00731361" w:rsidP="00731361">
      <w:pPr>
        <w:jc w:val="both"/>
        <w:rPr>
          <w:rFonts w:eastAsia="Times New Roman" w:cs="Times New Roman"/>
          <w:szCs w:val="24"/>
          <w:u w:val="single"/>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p>
    <w:p w14:paraId="5FB1B744" w14:textId="5E7E6B0D" w:rsidR="00731361" w:rsidRPr="00624DCE" w:rsidRDefault="00731361" w:rsidP="00731361">
      <w:pPr>
        <w:jc w:val="both"/>
        <w:rPr>
          <w:rFonts w:eastAsia="Times New Roman" w:cs="Times New Roman"/>
          <w:szCs w:val="24"/>
        </w:rPr>
      </w:pP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Pr="00624DCE">
        <w:rPr>
          <w:rFonts w:eastAsia="Times New Roman" w:cs="Times New Roman"/>
          <w:szCs w:val="24"/>
        </w:rPr>
        <w:tab/>
      </w:r>
      <w:r w:rsidR="001B3E87">
        <w:rPr>
          <w:rFonts w:eastAsia="Times New Roman" w:cs="Times New Roman"/>
          <w:szCs w:val="24"/>
        </w:rPr>
        <w:t>K</w:t>
      </w:r>
      <w:r w:rsidR="00C37024">
        <w:rPr>
          <w:rFonts w:eastAsia="Times New Roman" w:cs="Times New Roman"/>
          <w:szCs w:val="24"/>
        </w:rPr>
        <w:t xml:space="preserve">. F. </w:t>
      </w:r>
      <w:r w:rsidR="001B3E87">
        <w:rPr>
          <w:rFonts w:eastAsia="Times New Roman" w:cs="Times New Roman"/>
          <w:szCs w:val="24"/>
        </w:rPr>
        <w:t xml:space="preserve">Drexler, </w:t>
      </w:r>
      <w:r w:rsidRPr="00624DCE">
        <w:rPr>
          <w:rFonts w:eastAsia="Times New Roman" w:cs="Times New Roman"/>
          <w:szCs w:val="24"/>
        </w:rPr>
        <w:t>Commissioner</w:t>
      </w:r>
    </w:p>
    <w:p w14:paraId="3FD08D09" w14:textId="77777777" w:rsidR="00731361" w:rsidRPr="00624DCE" w:rsidRDefault="00731361" w:rsidP="00731361">
      <w:pPr>
        <w:jc w:val="both"/>
        <w:rPr>
          <w:rFonts w:eastAsia="Times New Roman" w:cs="Times New Roman"/>
          <w:szCs w:val="24"/>
        </w:rPr>
      </w:pPr>
    </w:p>
    <w:p w14:paraId="5CF4C397" w14:textId="77777777" w:rsidR="00731361" w:rsidRPr="00C37024" w:rsidRDefault="00731361" w:rsidP="00731361">
      <w:pPr>
        <w:jc w:val="both"/>
        <w:rPr>
          <w:rFonts w:eastAsia="Times New Roman" w:cs="Times New Roman"/>
          <w:b/>
          <w:bCs/>
          <w:szCs w:val="24"/>
        </w:rPr>
      </w:pPr>
      <w:r w:rsidRPr="00C37024">
        <w:rPr>
          <w:rFonts w:eastAsia="Times New Roman" w:cs="Times New Roman"/>
          <w:b/>
          <w:bCs/>
          <w:szCs w:val="24"/>
        </w:rPr>
        <w:t>ATTEST:</w:t>
      </w:r>
    </w:p>
    <w:p w14:paraId="6AE5CD54" w14:textId="77777777" w:rsidR="00731361" w:rsidRPr="00624DCE" w:rsidRDefault="00731361" w:rsidP="00731361">
      <w:pPr>
        <w:jc w:val="both"/>
        <w:rPr>
          <w:rFonts w:eastAsia="Times New Roman" w:cs="Times New Roman"/>
          <w:szCs w:val="24"/>
          <w:u w:val="single"/>
        </w:rPr>
      </w:pPr>
    </w:p>
    <w:p w14:paraId="0D031245" w14:textId="77777777" w:rsidR="00731361" w:rsidRPr="00624DCE" w:rsidRDefault="00731361" w:rsidP="00731361">
      <w:pPr>
        <w:jc w:val="both"/>
        <w:rPr>
          <w:rFonts w:eastAsia="Times New Roman" w:cs="Times New Roman"/>
          <w:szCs w:val="24"/>
          <w:u w:val="single"/>
        </w:rPr>
      </w:pPr>
    </w:p>
    <w:p w14:paraId="49E09331" w14:textId="77777777" w:rsidR="00731361" w:rsidRPr="00624DCE" w:rsidRDefault="00731361" w:rsidP="00731361">
      <w:pPr>
        <w:jc w:val="both"/>
        <w:rPr>
          <w:rFonts w:eastAsia="Times New Roman" w:cs="Times New Roman"/>
          <w:szCs w:val="24"/>
        </w:rPr>
      </w:pP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r w:rsidRPr="00624DCE">
        <w:rPr>
          <w:rFonts w:eastAsia="Times New Roman" w:cs="Times New Roman"/>
          <w:szCs w:val="24"/>
          <w:u w:val="single"/>
        </w:rPr>
        <w:tab/>
      </w:r>
    </w:p>
    <w:p w14:paraId="477BAC7F" w14:textId="115429A1" w:rsidR="00731361" w:rsidRPr="00624DCE" w:rsidRDefault="008758A8" w:rsidP="00731361">
      <w:pPr>
        <w:jc w:val="both"/>
        <w:rPr>
          <w:rFonts w:eastAsia="Times New Roman" w:cs="Times New Roman"/>
          <w:szCs w:val="24"/>
        </w:rPr>
      </w:pPr>
      <w:r>
        <w:rPr>
          <w:rFonts w:eastAsia="Times New Roman" w:cs="Times New Roman"/>
          <w:szCs w:val="24"/>
        </w:rPr>
        <w:t>Crystal Beenick</w:t>
      </w:r>
      <w:r w:rsidR="001B3E87">
        <w:rPr>
          <w:rFonts w:eastAsia="Times New Roman" w:cs="Times New Roman"/>
          <w:szCs w:val="24"/>
        </w:rPr>
        <w:t>,</w:t>
      </w:r>
      <w:r w:rsidR="000B628B">
        <w:rPr>
          <w:rFonts w:eastAsia="Times New Roman" w:cs="Times New Roman"/>
          <w:szCs w:val="24"/>
        </w:rPr>
        <w:t xml:space="preserve"> </w:t>
      </w:r>
      <w:r w:rsidR="00731361" w:rsidRPr="00624DCE">
        <w:rPr>
          <w:rFonts w:eastAsia="Times New Roman" w:cs="Times New Roman"/>
          <w:szCs w:val="24"/>
        </w:rPr>
        <w:t>Secretary</w:t>
      </w:r>
    </w:p>
    <w:p w14:paraId="6E955AFA" w14:textId="64CDB42B" w:rsidR="00731361" w:rsidRDefault="00731361" w:rsidP="00731361">
      <w:pPr>
        <w:rPr>
          <w:rFonts w:eastAsia="Calibri" w:cs="Times New Roman"/>
          <w:szCs w:val="24"/>
        </w:rPr>
      </w:pPr>
    </w:p>
    <w:p w14:paraId="4285B5AE" w14:textId="1E97A8CF" w:rsidR="008758A8" w:rsidRDefault="008758A8" w:rsidP="00731361">
      <w:pPr>
        <w:rPr>
          <w:rFonts w:eastAsia="Calibri" w:cs="Times New Roman"/>
          <w:szCs w:val="24"/>
        </w:rPr>
      </w:pPr>
    </w:p>
    <w:p w14:paraId="3B33C373" w14:textId="4BDDD9BC" w:rsidR="008758A8" w:rsidRDefault="008758A8" w:rsidP="00731361">
      <w:pPr>
        <w:rPr>
          <w:rFonts w:eastAsia="Calibri" w:cs="Times New Roman"/>
          <w:szCs w:val="24"/>
        </w:rPr>
      </w:pPr>
    </w:p>
    <w:p w14:paraId="18F6DBAA" w14:textId="5155BE7B" w:rsidR="008758A8" w:rsidRDefault="008758A8" w:rsidP="00731361">
      <w:pPr>
        <w:rPr>
          <w:rFonts w:eastAsia="Calibri" w:cs="Times New Roman"/>
          <w:szCs w:val="24"/>
        </w:rPr>
      </w:pPr>
    </w:p>
    <w:p w14:paraId="61795796" w14:textId="07220CB5" w:rsidR="008758A8" w:rsidRDefault="008758A8" w:rsidP="00731361">
      <w:pPr>
        <w:rPr>
          <w:rFonts w:eastAsia="Calibri" w:cs="Times New Roman"/>
          <w:szCs w:val="24"/>
        </w:rPr>
      </w:pPr>
    </w:p>
    <w:p w14:paraId="404E2EDB" w14:textId="12685CC1" w:rsidR="008758A8" w:rsidRDefault="008758A8" w:rsidP="00731361">
      <w:pPr>
        <w:rPr>
          <w:rFonts w:eastAsia="Calibri" w:cs="Times New Roman"/>
          <w:szCs w:val="24"/>
        </w:rPr>
      </w:pPr>
    </w:p>
    <w:p w14:paraId="48BB1FBF" w14:textId="4DBDAEBD" w:rsidR="008758A8" w:rsidRDefault="008758A8" w:rsidP="00731361">
      <w:pPr>
        <w:rPr>
          <w:rFonts w:eastAsia="Calibri" w:cs="Times New Roman"/>
          <w:szCs w:val="24"/>
        </w:rPr>
      </w:pPr>
    </w:p>
    <w:p w14:paraId="00E56606" w14:textId="7B87B417" w:rsidR="008758A8" w:rsidRDefault="008758A8" w:rsidP="00731361">
      <w:pPr>
        <w:rPr>
          <w:rFonts w:eastAsia="Calibri" w:cs="Times New Roman"/>
          <w:szCs w:val="24"/>
        </w:rPr>
      </w:pPr>
    </w:p>
    <w:p w14:paraId="2014D43D" w14:textId="5A1EED2B" w:rsidR="008758A8" w:rsidRDefault="008758A8" w:rsidP="00731361">
      <w:pPr>
        <w:rPr>
          <w:rFonts w:eastAsia="Calibri" w:cs="Times New Roman"/>
          <w:szCs w:val="24"/>
        </w:rPr>
      </w:pPr>
    </w:p>
    <w:p w14:paraId="6F7D6F9F" w14:textId="3A302145" w:rsidR="008758A8" w:rsidRDefault="008758A8" w:rsidP="00731361">
      <w:pPr>
        <w:rPr>
          <w:rFonts w:eastAsia="Calibri" w:cs="Times New Roman"/>
          <w:szCs w:val="24"/>
        </w:rPr>
      </w:pPr>
    </w:p>
    <w:p w14:paraId="63792D4E" w14:textId="3ACBEFFD" w:rsidR="008758A8" w:rsidRDefault="008758A8" w:rsidP="00731361">
      <w:pPr>
        <w:rPr>
          <w:rFonts w:eastAsia="Calibri" w:cs="Times New Roman"/>
          <w:szCs w:val="24"/>
        </w:rPr>
      </w:pPr>
    </w:p>
    <w:p w14:paraId="3CC290E8" w14:textId="0F3DDF83" w:rsidR="008758A8" w:rsidRDefault="008758A8" w:rsidP="00731361">
      <w:pPr>
        <w:rPr>
          <w:rFonts w:eastAsia="Calibri" w:cs="Times New Roman"/>
          <w:szCs w:val="24"/>
        </w:rPr>
      </w:pPr>
    </w:p>
    <w:p w14:paraId="53B46627" w14:textId="4ABFBD89" w:rsidR="008758A8" w:rsidRDefault="008758A8" w:rsidP="00731361">
      <w:pPr>
        <w:rPr>
          <w:rFonts w:eastAsia="Calibri" w:cs="Times New Roman"/>
          <w:szCs w:val="24"/>
        </w:rPr>
      </w:pPr>
    </w:p>
    <w:p w14:paraId="38D702AB" w14:textId="2B8E220E" w:rsidR="008758A8" w:rsidRDefault="008758A8" w:rsidP="00731361">
      <w:pPr>
        <w:rPr>
          <w:rFonts w:eastAsia="Calibri" w:cs="Times New Roman"/>
          <w:szCs w:val="24"/>
        </w:rPr>
      </w:pPr>
    </w:p>
    <w:p w14:paraId="520016D6" w14:textId="77777777" w:rsidR="008758A8" w:rsidRPr="00624DCE" w:rsidRDefault="008758A8" w:rsidP="00731361">
      <w:pPr>
        <w:rPr>
          <w:rFonts w:eastAsia="Calibri" w:cs="Times New Roman"/>
          <w:szCs w:val="24"/>
        </w:rPr>
      </w:pPr>
    </w:p>
    <w:p w14:paraId="34025CB0" w14:textId="1AAD5992" w:rsidR="00731361" w:rsidRPr="00624DCE" w:rsidRDefault="008758A8" w:rsidP="00731361">
      <w:pPr>
        <w:jc w:val="center"/>
        <w:rPr>
          <w:rFonts w:eastAsia="Calibri" w:cs="Times New Roman"/>
          <w:b/>
          <w:szCs w:val="24"/>
          <w:u w:val="single"/>
        </w:rPr>
      </w:pPr>
      <w:r>
        <w:rPr>
          <w:rFonts w:eastAsia="Calibri" w:cs="Times New Roman"/>
          <w:b/>
          <w:szCs w:val="24"/>
          <w:u w:val="single"/>
        </w:rPr>
        <w:lastRenderedPageBreak/>
        <w:t>Exhibit</w:t>
      </w:r>
      <w:r w:rsidR="00731361" w:rsidRPr="00624DCE">
        <w:rPr>
          <w:rFonts w:eastAsia="Calibri" w:cs="Times New Roman"/>
          <w:b/>
          <w:szCs w:val="24"/>
          <w:u w:val="single"/>
        </w:rPr>
        <w:t xml:space="preserve"> “A”</w:t>
      </w:r>
    </w:p>
    <w:p w14:paraId="59AA9930" w14:textId="77777777" w:rsidR="00731361" w:rsidRPr="00624DCE" w:rsidRDefault="00731361" w:rsidP="00731361">
      <w:pPr>
        <w:rPr>
          <w:rFonts w:eastAsia="Calibri" w:cs="Times New Roman"/>
          <w:b/>
          <w:szCs w:val="24"/>
        </w:rPr>
      </w:pPr>
    </w:p>
    <w:p w14:paraId="00C3AAB2" w14:textId="77777777" w:rsidR="00731361" w:rsidRPr="00624DCE" w:rsidRDefault="00731361" w:rsidP="00731361">
      <w:pPr>
        <w:rPr>
          <w:rFonts w:eastAsia="Calibri" w:cs="Times New Roman"/>
          <w:b/>
          <w:szCs w:val="24"/>
        </w:rPr>
      </w:pPr>
    </w:p>
    <w:p w14:paraId="34F64E6D" w14:textId="77777777" w:rsidR="00731361" w:rsidRPr="00731361" w:rsidRDefault="00731361" w:rsidP="00731361">
      <w:pPr>
        <w:rPr>
          <w:rFonts w:eastAsia="Calibri" w:cs="Times New Roman"/>
          <w:szCs w:val="24"/>
        </w:rPr>
      </w:pPr>
    </w:p>
    <w:p w14:paraId="682B6CB5" w14:textId="77777777" w:rsidR="00731361" w:rsidRPr="00731361" w:rsidRDefault="00731361" w:rsidP="00731361">
      <w:pPr>
        <w:rPr>
          <w:rFonts w:eastAsia="Calibri" w:cs="Times New Roman"/>
          <w:szCs w:val="24"/>
        </w:rPr>
      </w:pPr>
    </w:p>
    <w:p w14:paraId="64F65609" w14:textId="77777777" w:rsidR="00731361" w:rsidRPr="00731361" w:rsidRDefault="00731361" w:rsidP="00731361"/>
    <w:p w14:paraId="594F81E4" w14:textId="115338F4" w:rsidR="0054160D" w:rsidRDefault="0054160D"/>
    <w:p w14:paraId="40BC9D77" w14:textId="1EF1BA3F" w:rsidR="008758A8" w:rsidRDefault="008758A8"/>
    <w:p w14:paraId="3A82B876" w14:textId="43EB5BD6" w:rsidR="008758A8" w:rsidRDefault="008758A8"/>
    <w:p w14:paraId="372EF9D5" w14:textId="20333919" w:rsidR="008758A8" w:rsidRDefault="008758A8"/>
    <w:p w14:paraId="682229F4" w14:textId="01B0667D" w:rsidR="008758A8" w:rsidRDefault="008758A8"/>
    <w:p w14:paraId="67586BA6" w14:textId="4626BFE2" w:rsidR="008758A8" w:rsidRDefault="008758A8"/>
    <w:p w14:paraId="579C2641" w14:textId="1C746DB2" w:rsidR="008758A8" w:rsidRDefault="008758A8"/>
    <w:p w14:paraId="39A11696" w14:textId="73EC58EC" w:rsidR="008758A8" w:rsidRDefault="008758A8"/>
    <w:p w14:paraId="4D1C4D2B" w14:textId="51C95924" w:rsidR="008758A8" w:rsidRDefault="008758A8"/>
    <w:p w14:paraId="346D90D9" w14:textId="6A5A9558" w:rsidR="008758A8" w:rsidRDefault="008758A8"/>
    <w:p w14:paraId="302039DF" w14:textId="5F58DEE0" w:rsidR="008758A8" w:rsidRDefault="008758A8"/>
    <w:p w14:paraId="6F6B206C" w14:textId="7BC7C265" w:rsidR="008758A8" w:rsidRDefault="008758A8"/>
    <w:p w14:paraId="3979A3F0" w14:textId="0A9302C9" w:rsidR="008758A8" w:rsidRDefault="008758A8"/>
    <w:p w14:paraId="44DE8F45" w14:textId="292B1106" w:rsidR="008758A8" w:rsidRDefault="008758A8"/>
    <w:p w14:paraId="7438ED8A" w14:textId="46FDC995" w:rsidR="008758A8" w:rsidRDefault="008758A8"/>
    <w:p w14:paraId="112B3C1D" w14:textId="42ADD5FD" w:rsidR="008758A8" w:rsidRDefault="008758A8"/>
    <w:p w14:paraId="21F72041" w14:textId="209D332F" w:rsidR="008758A8" w:rsidRDefault="008758A8"/>
    <w:p w14:paraId="49C1562F" w14:textId="19142730" w:rsidR="008758A8" w:rsidRDefault="008758A8"/>
    <w:p w14:paraId="3530154F" w14:textId="10AE4C5F" w:rsidR="008758A8" w:rsidRDefault="008758A8"/>
    <w:p w14:paraId="09B495BB" w14:textId="6FE0E9C4" w:rsidR="008758A8" w:rsidRDefault="008758A8"/>
    <w:p w14:paraId="2275054F" w14:textId="7E5959F9" w:rsidR="008758A8" w:rsidRDefault="008758A8"/>
    <w:p w14:paraId="44DDA117" w14:textId="0579BE1C" w:rsidR="008758A8" w:rsidRDefault="008758A8"/>
    <w:p w14:paraId="2A7EE7FA" w14:textId="61963750" w:rsidR="008758A8" w:rsidRDefault="008758A8"/>
    <w:p w14:paraId="5AD4DB91" w14:textId="32F82BE8" w:rsidR="008758A8" w:rsidRDefault="008758A8"/>
    <w:p w14:paraId="75B94223" w14:textId="5F2B3744" w:rsidR="008758A8" w:rsidRDefault="008758A8"/>
    <w:p w14:paraId="17F423F7" w14:textId="0C1482AA" w:rsidR="008758A8" w:rsidRDefault="008758A8"/>
    <w:p w14:paraId="09E575A0" w14:textId="42DE21A3" w:rsidR="008758A8" w:rsidRDefault="008758A8"/>
    <w:p w14:paraId="5EBD51FD" w14:textId="1FFF46B5" w:rsidR="008758A8" w:rsidRDefault="008758A8"/>
    <w:p w14:paraId="1F484188" w14:textId="3206C597" w:rsidR="008758A8" w:rsidRDefault="008758A8"/>
    <w:p w14:paraId="48D6FAC3" w14:textId="7A5EDA8F" w:rsidR="008758A8" w:rsidRDefault="008758A8"/>
    <w:p w14:paraId="23F3AA58" w14:textId="55DAB853" w:rsidR="008758A8" w:rsidRDefault="008758A8"/>
    <w:p w14:paraId="42DE377F" w14:textId="6203D9D4" w:rsidR="008758A8" w:rsidRDefault="008758A8"/>
    <w:p w14:paraId="48C879EC" w14:textId="4DFA3FC1" w:rsidR="008758A8" w:rsidRDefault="008758A8"/>
    <w:p w14:paraId="146CB3F8" w14:textId="2940F74E" w:rsidR="008758A8" w:rsidRDefault="008758A8"/>
    <w:p w14:paraId="3C5C2661" w14:textId="3639362C" w:rsidR="008758A8" w:rsidRDefault="008758A8"/>
    <w:p w14:paraId="4BE01525" w14:textId="6E97FA24" w:rsidR="008758A8" w:rsidRDefault="008758A8"/>
    <w:p w14:paraId="57641EC7" w14:textId="5E372435" w:rsidR="008758A8" w:rsidRDefault="008758A8"/>
    <w:p w14:paraId="0474EC0F" w14:textId="77777777" w:rsidR="001C1454" w:rsidRDefault="001C1454"/>
    <w:p w14:paraId="3B1ADA29" w14:textId="10301DB4" w:rsidR="008758A8" w:rsidRDefault="008758A8"/>
    <w:p w14:paraId="20F04ED2" w14:textId="3E0C8C41" w:rsidR="008758A8" w:rsidRDefault="008758A8"/>
    <w:p w14:paraId="6B35FA60" w14:textId="0D190686" w:rsidR="008758A8" w:rsidRPr="00624DCE" w:rsidRDefault="008758A8" w:rsidP="008758A8">
      <w:pPr>
        <w:jc w:val="center"/>
        <w:rPr>
          <w:rFonts w:eastAsia="Calibri" w:cs="Times New Roman"/>
          <w:b/>
          <w:szCs w:val="24"/>
          <w:u w:val="single"/>
        </w:rPr>
      </w:pPr>
      <w:r>
        <w:rPr>
          <w:rFonts w:eastAsia="Calibri" w:cs="Times New Roman"/>
          <w:b/>
          <w:szCs w:val="24"/>
          <w:u w:val="single"/>
        </w:rPr>
        <w:lastRenderedPageBreak/>
        <w:t>Exhibit</w:t>
      </w:r>
      <w:r w:rsidRPr="00624DCE">
        <w:rPr>
          <w:rFonts w:eastAsia="Calibri" w:cs="Times New Roman"/>
          <w:b/>
          <w:szCs w:val="24"/>
          <w:u w:val="single"/>
        </w:rPr>
        <w:t xml:space="preserve"> “</w:t>
      </w:r>
      <w:r>
        <w:rPr>
          <w:rFonts w:eastAsia="Calibri" w:cs="Times New Roman"/>
          <w:b/>
          <w:szCs w:val="24"/>
          <w:u w:val="single"/>
        </w:rPr>
        <w:t>B</w:t>
      </w:r>
      <w:r w:rsidRPr="00624DCE">
        <w:rPr>
          <w:rFonts w:eastAsia="Calibri" w:cs="Times New Roman"/>
          <w:b/>
          <w:szCs w:val="24"/>
          <w:u w:val="single"/>
        </w:rPr>
        <w:t>”</w:t>
      </w:r>
    </w:p>
    <w:p w14:paraId="4414C0D1" w14:textId="141BEDD7" w:rsidR="008758A8" w:rsidRDefault="008758A8"/>
    <w:p w14:paraId="0E801C90" w14:textId="63D4706A" w:rsidR="008758A8" w:rsidRDefault="008758A8"/>
    <w:p w14:paraId="67E983DF" w14:textId="0474FB66" w:rsidR="008758A8" w:rsidRDefault="008758A8"/>
    <w:p w14:paraId="16DD356C" w14:textId="3F574102" w:rsidR="008758A8" w:rsidRDefault="008758A8"/>
    <w:p w14:paraId="1165BC3A" w14:textId="06F2B006" w:rsidR="008758A8" w:rsidRDefault="008758A8"/>
    <w:p w14:paraId="27579D70" w14:textId="673FA18F" w:rsidR="008758A8" w:rsidRDefault="008758A8"/>
    <w:p w14:paraId="0F25DCEB" w14:textId="3A98E16A" w:rsidR="008758A8" w:rsidRDefault="008758A8"/>
    <w:p w14:paraId="160C6246" w14:textId="7422C4D5" w:rsidR="008758A8" w:rsidRDefault="008758A8"/>
    <w:p w14:paraId="74E6226D" w14:textId="3BC3A3F6" w:rsidR="008758A8" w:rsidRDefault="008758A8"/>
    <w:p w14:paraId="5B75F1A7" w14:textId="56C472FA" w:rsidR="008758A8" w:rsidRDefault="008758A8"/>
    <w:p w14:paraId="497BBC75" w14:textId="2AF9B3F7" w:rsidR="008758A8" w:rsidRDefault="008758A8"/>
    <w:p w14:paraId="4879CDF1" w14:textId="03DE6DC5" w:rsidR="008758A8" w:rsidRDefault="008758A8"/>
    <w:p w14:paraId="0725E288" w14:textId="53702537" w:rsidR="008758A8" w:rsidRDefault="008758A8"/>
    <w:p w14:paraId="10509676" w14:textId="7EA8DA6C" w:rsidR="008758A8" w:rsidRDefault="008758A8"/>
    <w:p w14:paraId="2ED04BDC" w14:textId="07FAFCAF" w:rsidR="008758A8" w:rsidRDefault="008758A8"/>
    <w:p w14:paraId="42BC7D2C" w14:textId="541AD248" w:rsidR="008758A8" w:rsidRDefault="008758A8"/>
    <w:p w14:paraId="2401F112" w14:textId="7989FC01" w:rsidR="008758A8" w:rsidRDefault="008758A8"/>
    <w:p w14:paraId="3D95A29B" w14:textId="308BF20C" w:rsidR="008758A8" w:rsidRDefault="008758A8"/>
    <w:p w14:paraId="03D172C1" w14:textId="152C1907" w:rsidR="008758A8" w:rsidRDefault="008758A8"/>
    <w:p w14:paraId="57C8DCE3" w14:textId="4FCEC4E9" w:rsidR="008758A8" w:rsidRDefault="008758A8"/>
    <w:p w14:paraId="4A64ED52" w14:textId="1CF131FE" w:rsidR="008758A8" w:rsidRDefault="008758A8"/>
    <w:p w14:paraId="6C179086" w14:textId="5F1047CF" w:rsidR="008758A8" w:rsidRDefault="008758A8"/>
    <w:p w14:paraId="0E9FB608" w14:textId="2016FE9D" w:rsidR="008758A8" w:rsidRDefault="008758A8"/>
    <w:p w14:paraId="2D329F3C" w14:textId="0A137E3E" w:rsidR="008758A8" w:rsidRDefault="008758A8"/>
    <w:p w14:paraId="28DEC1E7" w14:textId="04C1894C" w:rsidR="008758A8" w:rsidRDefault="008758A8"/>
    <w:p w14:paraId="0FBCDBF0" w14:textId="5B4E49EC" w:rsidR="008758A8" w:rsidRDefault="008758A8"/>
    <w:p w14:paraId="6576C45D" w14:textId="185817A1" w:rsidR="008758A8" w:rsidRDefault="008758A8"/>
    <w:p w14:paraId="068F27ED" w14:textId="3CFB578F" w:rsidR="008758A8" w:rsidRDefault="008758A8"/>
    <w:p w14:paraId="115AE617" w14:textId="6739AB5D" w:rsidR="008758A8" w:rsidRDefault="008758A8"/>
    <w:p w14:paraId="2A6FF2AB" w14:textId="23BD4278" w:rsidR="008758A8" w:rsidRDefault="008758A8"/>
    <w:p w14:paraId="2EABBFD9" w14:textId="0DEBC1E6" w:rsidR="008758A8" w:rsidRDefault="008758A8"/>
    <w:p w14:paraId="287A54C5" w14:textId="7812D697" w:rsidR="008758A8" w:rsidRDefault="008758A8"/>
    <w:p w14:paraId="05BF5492" w14:textId="181C264E" w:rsidR="008758A8" w:rsidRDefault="008758A8"/>
    <w:p w14:paraId="0AF639D5" w14:textId="23155C66" w:rsidR="008758A8" w:rsidRDefault="008758A8"/>
    <w:p w14:paraId="05867B7E" w14:textId="133C3A5D" w:rsidR="008758A8" w:rsidRDefault="008758A8"/>
    <w:p w14:paraId="0897ADFF" w14:textId="3DFAC98F" w:rsidR="008758A8" w:rsidRDefault="008758A8"/>
    <w:p w14:paraId="59133615" w14:textId="510EBA3D" w:rsidR="008758A8" w:rsidRDefault="008758A8"/>
    <w:p w14:paraId="3D0BA49B" w14:textId="02B69E1C" w:rsidR="008758A8" w:rsidRDefault="008758A8"/>
    <w:p w14:paraId="32DC5CCF" w14:textId="4AE1335D" w:rsidR="008758A8" w:rsidRDefault="008758A8"/>
    <w:p w14:paraId="3C7C502D" w14:textId="081C9C94" w:rsidR="008758A8" w:rsidRDefault="008758A8"/>
    <w:p w14:paraId="4CAF7F28" w14:textId="03ADED83" w:rsidR="008758A8" w:rsidRDefault="008758A8"/>
    <w:p w14:paraId="427D751C" w14:textId="620287B0" w:rsidR="008758A8" w:rsidRDefault="008758A8"/>
    <w:p w14:paraId="161C66F2" w14:textId="5AA61CFE" w:rsidR="008758A8" w:rsidRDefault="008758A8"/>
    <w:p w14:paraId="31B31643" w14:textId="3E69E7F3" w:rsidR="008758A8" w:rsidRDefault="008758A8"/>
    <w:p w14:paraId="7FF4266C" w14:textId="5472F292" w:rsidR="008758A8" w:rsidRDefault="008758A8"/>
    <w:p w14:paraId="67A61DEB" w14:textId="4703857D" w:rsidR="008758A8" w:rsidRPr="00624DCE" w:rsidRDefault="008758A8" w:rsidP="008758A8">
      <w:pPr>
        <w:jc w:val="center"/>
        <w:rPr>
          <w:rFonts w:eastAsia="Calibri" w:cs="Times New Roman"/>
          <w:b/>
          <w:szCs w:val="24"/>
          <w:u w:val="single"/>
        </w:rPr>
      </w:pPr>
      <w:r>
        <w:rPr>
          <w:rFonts w:eastAsia="Calibri" w:cs="Times New Roman"/>
          <w:b/>
          <w:szCs w:val="24"/>
          <w:u w:val="single"/>
        </w:rPr>
        <w:lastRenderedPageBreak/>
        <w:t>Exhibit</w:t>
      </w:r>
      <w:r w:rsidRPr="00624DCE">
        <w:rPr>
          <w:rFonts w:eastAsia="Calibri" w:cs="Times New Roman"/>
          <w:b/>
          <w:szCs w:val="24"/>
          <w:u w:val="single"/>
        </w:rPr>
        <w:t xml:space="preserve"> “</w:t>
      </w:r>
      <w:r>
        <w:rPr>
          <w:rFonts w:eastAsia="Calibri" w:cs="Times New Roman"/>
          <w:b/>
          <w:szCs w:val="24"/>
          <w:u w:val="single"/>
        </w:rPr>
        <w:t>C</w:t>
      </w:r>
      <w:r w:rsidRPr="00624DCE">
        <w:rPr>
          <w:rFonts w:eastAsia="Calibri" w:cs="Times New Roman"/>
          <w:b/>
          <w:szCs w:val="24"/>
          <w:u w:val="single"/>
        </w:rPr>
        <w:t>”</w:t>
      </w:r>
    </w:p>
    <w:p w14:paraId="021B2D51" w14:textId="77777777" w:rsidR="008758A8" w:rsidRDefault="008758A8"/>
    <w:sectPr w:rsidR="008758A8" w:rsidSect="00564D1D">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DE52" w14:textId="77777777" w:rsidR="00FD111E" w:rsidRDefault="00FD111E" w:rsidP="00731361">
      <w:r>
        <w:separator/>
      </w:r>
    </w:p>
  </w:endnote>
  <w:endnote w:type="continuationSeparator" w:id="0">
    <w:p w14:paraId="4C7204CC" w14:textId="77777777" w:rsidR="00FD111E" w:rsidRDefault="00FD111E" w:rsidP="0073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6229" w14:textId="77777777" w:rsidR="00731361" w:rsidRPr="00E16C87" w:rsidRDefault="00731361">
    <w:pPr>
      <w:pStyle w:val="Footer"/>
      <w:jc w:val="center"/>
      <w:rPr>
        <w:rFonts w:cs="Times New Roman"/>
        <w:szCs w:val="24"/>
      </w:rPr>
    </w:pPr>
    <w:r w:rsidRPr="00E16C87">
      <w:rPr>
        <w:rFonts w:cs="Times New Roman"/>
        <w:szCs w:val="24"/>
      </w:rPr>
      <w:fldChar w:fldCharType="begin"/>
    </w:r>
    <w:r w:rsidRPr="00E16C87">
      <w:rPr>
        <w:rFonts w:cs="Times New Roman"/>
        <w:szCs w:val="24"/>
      </w:rPr>
      <w:instrText xml:space="preserve"> PAGE   \* MERGEFORMAT </w:instrText>
    </w:r>
    <w:r w:rsidRPr="00E16C87">
      <w:rPr>
        <w:rFonts w:cs="Times New Roman"/>
        <w:szCs w:val="24"/>
      </w:rPr>
      <w:fldChar w:fldCharType="separate"/>
    </w:r>
    <w:r w:rsidR="005532CD" w:rsidRPr="00E16C87">
      <w:rPr>
        <w:rFonts w:cs="Times New Roman"/>
        <w:noProof/>
        <w:szCs w:val="24"/>
      </w:rPr>
      <w:t>5</w:t>
    </w:r>
    <w:r w:rsidRPr="00E16C87">
      <w:rPr>
        <w:rFonts w:cs="Times New Roman"/>
        <w:noProof/>
        <w:szCs w:val="24"/>
      </w:rPr>
      <w:fldChar w:fldCharType="end"/>
    </w:r>
  </w:p>
  <w:p w14:paraId="03D3A83F" w14:textId="77777777" w:rsidR="00731361" w:rsidRDefault="00731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061D" w14:textId="77777777" w:rsidR="00FD111E" w:rsidRDefault="00FD111E" w:rsidP="00731361">
      <w:r>
        <w:separator/>
      </w:r>
    </w:p>
  </w:footnote>
  <w:footnote w:type="continuationSeparator" w:id="0">
    <w:p w14:paraId="414FBF99" w14:textId="77777777" w:rsidR="00FD111E" w:rsidRDefault="00FD111E" w:rsidP="00731361">
      <w:r>
        <w:continuationSeparator/>
      </w:r>
    </w:p>
  </w:footnote>
  <w:footnote w:id="1">
    <w:p w14:paraId="5DDBE48D" w14:textId="77777777" w:rsidR="002D170D" w:rsidRPr="00875E00" w:rsidRDefault="002D170D" w:rsidP="002D170D">
      <w:pPr>
        <w:pStyle w:val="FootnoteText"/>
        <w:jc w:val="both"/>
        <w:rPr>
          <w:rFonts w:cs="Times New Roman"/>
          <w:sz w:val="22"/>
          <w:szCs w:val="22"/>
        </w:rPr>
      </w:pPr>
      <w:r w:rsidRPr="00875E00">
        <w:rPr>
          <w:rStyle w:val="FootnoteReference"/>
          <w:rFonts w:cs="Times New Roman"/>
          <w:sz w:val="22"/>
          <w:szCs w:val="22"/>
        </w:rPr>
        <w:footnoteRef/>
      </w:r>
      <w:r w:rsidRPr="00875E00">
        <w:rPr>
          <w:rFonts w:cs="Times New Roman"/>
          <w:sz w:val="22"/>
          <w:szCs w:val="22"/>
        </w:rPr>
        <w:t xml:space="preserve"> 26 </w:t>
      </w:r>
      <w:r w:rsidRPr="00875E00">
        <w:rPr>
          <w:rFonts w:cs="Times New Roman"/>
          <w:i/>
          <w:iCs/>
          <w:sz w:val="22"/>
          <w:szCs w:val="22"/>
        </w:rPr>
        <w:t>Del. C</w:t>
      </w:r>
      <w:r w:rsidRPr="00875E00">
        <w:rPr>
          <w:rFonts w:cs="Times New Roman"/>
          <w:sz w:val="22"/>
          <w:szCs w:val="22"/>
        </w:rPr>
        <w:t>. § 806(8)</w:t>
      </w:r>
      <w:r>
        <w:rPr>
          <w:rFonts w:cs="Times New Roman"/>
          <w:sz w:val="22"/>
          <w:szCs w:val="22"/>
        </w:rPr>
        <w:t xml:space="preserve"> defines “</w:t>
      </w:r>
      <w:r w:rsidRPr="00875E00">
        <w:rPr>
          <w:rFonts w:cs="Times New Roman"/>
          <w:color w:val="3D3D3D"/>
          <w:sz w:val="22"/>
          <w:szCs w:val="22"/>
          <w:shd w:val="clear" w:color="auto" w:fill="FFFFFF"/>
        </w:rPr>
        <w:t xml:space="preserve">Excavator” </w:t>
      </w:r>
      <w:r>
        <w:rPr>
          <w:rFonts w:cs="Times New Roman"/>
          <w:color w:val="3D3D3D"/>
          <w:sz w:val="22"/>
          <w:szCs w:val="22"/>
          <w:shd w:val="clear" w:color="auto" w:fill="FFFFFF"/>
        </w:rPr>
        <w:t>as</w:t>
      </w:r>
      <w:r w:rsidRPr="00875E00">
        <w:rPr>
          <w:rFonts w:cs="Times New Roman"/>
          <w:color w:val="3D3D3D"/>
          <w:sz w:val="22"/>
          <w:szCs w:val="22"/>
          <w:shd w:val="clear" w:color="auto" w:fill="FFFFFF"/>
        </w:rPr>
        <w:t xml:space="preserve"> any person, including those acting either as an employer or employee, intending to perform or performing excavation or demolition work. </w:t>
      </w:r>
      <w:r w:rsidRPr="00875E00">
        <w:rPr>
          <w:rFonts w:cs="Times New Roman"/>
          <w:i/>
          <w:iCs/>
          <w:color w:val="3D3D3D"/>
          <w:sz w:val="22"/>
          <w:szCs w:val="22"/>
          <w:shd w:val="clear" w:color="auto" w:fill="FFFFFF"/>
        </w:rPr>
        <w:t>See also</w:t>
      </w:r>
      <w:r>
        <w:rPr>
          <w:rFonts w:cs="Times New Roman"/>
          <w:color w:val="3D3D3D"/>
          <w:sz w:val="22"/>
          <w:szCs w:val="22"/>
          <w:shd w:val="clear" w:color="auto" w:fill="FFFFFF"/>
        </w:rPr>
        <w:t xml:space="preserve"> 26 </w:t>
      </w:r>
      <w:r w:rsidRPr="00875E00">
        <w:rPr>
          <w:rFonts w:cs="Times New Roman"/>
          <w:i/>
          <w:iCs/>
          <w:color w:val="3D3D3D"/>
          <w:sz w:val="22"/>
          <w:szCs w:val="22"/>
          <w:shd w:val="clear" w:color="auto" w:fill="FFFFFF"/>
        </w:rPr>
        <w:t>Del. C.</w:t>
      </w:r>
      <w:r>
        <w:rPr>
          <w:rFonts w:cs="Times New Roman"/>
          <w:color w:val="3D3D3D"/>
          <w:sz w:val="22"/>
          <w:szCs w:val="22"/>
          <w:shd w:val="clear" w:color="auto" w:fill="FFFFFF"/>
        </w:rPr>
        <w:t xml:space="preserve"> § 806(7),</w:t>
      </w:r>
      <w:r w:rsidRPr="00875E00">
        <w:rPr>
          <w:rFonts w:cs="Times New Roman"/>
          <w:color w:val="3D3D3D"/>
          <w:sz w:val="22"/>
          <w:szCs w:val="22"/>
          <w:shd w:val="clear" w:color="auto" w:fill="FFFFFF"/>
        </w:rPr>
        <w:t>“Excavate” or “excavation” shall mean any operation in which earth, rock or other material in the ground is moved, removed or otherwise displaced or disturbed by means of any tools, equipment or explosives and includes, without limitation, grading, trenching, digging, dredging, ditching, drilling, augering, tunnelling, boring, backfilling, post pounding, driving objects into the ground, installation of form pins, hammering, scraping, cable or pipe plowing or driving, but does not include the surface cultivation of the soil for agricultural purposes, such as tilling, or patch-type paving where the same, including cutback, does not exceed 12 inches in depth measured from the surface of the pavement being patched.</w:t>
      </w:r>
    </w:p>
  </w:footnote>
  <w:footnote w:id="2">
    <w:p w14:paraId="68CB856A" w14:textId="1A2C2EA6" w:rsidR="00A2785D" w:rsidRPr="007A20C3" w:rsidRDefault="00A2785D" w:rsidP="007A20C3">
      <w:pPr>
        <w:shd w:val="clear" w:color="auto" w:fill="FFFFFF"/>
        <w:jc w:val="both"/>
        <w:rPr>
          <w:rFonts w:eastAsia="Times New Roman" w:cs="Times New Roman"/>
          <w:color w:val="000000"/>
          <w:sz w:val="22"/>
        </w:rPr>
      </w:pPr>
      <w:r w:rsidRPr="007A20C3">
        <w:rPr>
          <w:rStyle w:val="FootnoteReference"/>
          <w:rFonts w:cs="Times New Roman"/>
          <w:sz w:val="22"/>
        </w:rPr>
        <w:footnoteRef/>
      </w:r>
      <w:r w:rsidRPr="007A20C3">
        <w:rPr>
          <w:rFonts w:cs="Times New Roman"/>
          <w:sz w:val="22"/>
        </w:rPr>
        <w:t xml:space="preserve"> </w:t>
      </w:r>
      <w:r w:rsidRPr="007A20C3">
        <w:rPr>
          <w:rFonts w:cs="Times New Roman"/>
          <w:i/>
          <w:iCs/>
          <w:sz w:val="22"/>
        </w:rPr>
        <w:t>See</w:t>
      </w:r>
      <w:r w:rsidRPr="007A20C3">
        <w:rPr>
          <w:rFonts w:cs="Times New Roman"/>
          <w:sz w:val="22"/>
        </w:rPr>
        <w:t xml:space="preserve"> 26 </w:t>
      </w:r>
      <w:r w:rsidRPr="007A20C3">
        <w:rPr>
          <w:rFonts w:cs="Times New Roman"/>
          <w:i/>
          <w:iCs/>
          <w:sz w:val="22"/>
        </w:rPr>
        <w:t>Del. C.</w:t>
      </w:r>
      <w:r w:rsidRPr="007A20C3">
        <w:rPr>
          <w:rFonts w:cs="Times New Roman"/>
          <w:sz w:val="22"/>
        </w:rPr>
        <w:t xml:space="preserve"> § 807(a): The approved notification center is </w:t>
      </w:r>
      <w:r w:rsidRPr="007A20C3">
        <w:rPr>
          <w:rFonts w:eastAsia="Times New Roman" w:cs="Times New Roman"/>
          <w:color w:val="000000"/>
          <w:sz w:val="22"/>
        </w:rPr>
        <w:t>Utilities Service Protection of Delmarva, Inc., and is also referenced as the “One Call Center”.</w:t>
      </w:r>
    </w:p>
  </w:footnote>
  <w:footnote w:id="3">
    <w:p w14:paraId="53225AE2" w14:textId="739F10B6" w:rsidR="007A20C3" w:rsidRPr="007A20C3" w:rsidRDefault="007A20C3" w:rsidP="007A20C3">
      <w:pPr>
        <w:pStyle w:val="FootnoteText"/>
        <w:jc w:val="both"/>
        <w:rPr>
          <w:sz w:val="22"/>
          <w:szCs w:val="22"/>
        </w:rPr>
      </w:pPr>
      <w:r w:rsidRPr="007A20C3">
        <w:rPr>
          <w:rStyle w:val="FootnoteReference"/>
          <w:sz w:val="22"/>
          <w:szCs w:val="22"/>
        </w:rPr>
        <w:footnoteRef/>
      </w:r>
      <w:r w:rsidRPr="007A20C3">
        <w:rPr>
          <w:sz w:val="22"/>
          <w:szCs w:val="22"/>
        </w:rPr>
        <w:t xml:space="preserve"> Staff sent a warning letter on July 5, 2022 via First Class Mail but did not receive a response. Accordingly, Staff sent the same version of the letter </w:t>
      </w:r>
      <w:r>
        <w:rPr>
          <w:sz w:val="22"/>
          <w:szCs w:val="22"/>
        </w:rPr>
        <w:t xml:space="preserve">on August 19, 2022 </w:t>
      </w:r>
      <w:r w:rsidRPr="007A20C3">
        <w:rPr>
          <w:sz w:val="22"/>
          <w:szCs w:val="22"/>
        </w:rPr>
        <w:t>via Certified Mail</w:t>
      </w:r>
      <w:r>
        <w:rPr>
          <w:sz w:val="22"/>
          <w:szCs w:val="22"/>
        </w:rPr>
        <w:t>,</w:t>
      </w:r>
      <w:r w:rsidRPr="007A20C3">
        <w:rPr>
          <w:sz w:val="22"/>
          <w:szCs w:val="22"/>
        </w:rPr>
        <w:t xml:space="preserve"> which</w:t>
      </w:r>
      <w:r>
        <w:rPr>
          <w:sz w:val="22"/>
          <w:szCs w:val="22"/>
        </w:rPr>
        <w:t xml:space="preserve"> differed only in</w:t>
      </w:r>
      <w:r w:rsidRPr="007A20C3">
        <w:rPr>
          <w:sz w:val="22"/>
          <w:szCs w:val="22"/>
        </w:rPr>
        <w:t xml:space="preserve"> highlight</w:t>
      </w:r>
      <w:r>
        <w:rPr>
          <w:sz w:val="22"/>
          <w:szCs w:val="22"/>
        </w:rPr>
        <w:t>ing</w:t>
      </w:r>
      <w:r w:rsidRPr="007A20C3">
        <w:rPr>
          <w:sz w:val="22"/>
          <w:szCs w:val="22"/>
        </w:rPr>
        <w:t xml:space="preserve"> response methods.</w:t>
      </w:r>
    </w:p>
  </w:footnote>
  <w:footnote w:id="4">
    <w:p w14:paraId="510348EC" w14:textId="50E9BC0A" w:rsidR="00A2785D" w:rsidRPr="007A20C3" w:rsidRDefault="002D170D" w:rsidP="007A20C3">
      <w:pPr>
        <w:shd w:val="clear" w:color="auto" w:fill="FFFFFF"/>
        <w:jc w:val="both"/>
        <w:rPr>
          <w:rFonts w:eastAsia="Times New Roman" w:cs="Times New Roman"/>
          <w:color w:val="000000"/>
          <w:sz w:val="22"/>
        </w:rPr>
      </w:pPr>
      <w:r w:rsidRPr="007A20C3">
        <w:rPr>
          <w:rStyle w:val="FootnoteReference"/>
          <w:rFonts w:cs="Times New Roman"/>
          <w:sz w:val="22"/>
        </w:rPr>
        <w:footnoteRef/>
      </w:r>
      <w:r w:rsidRPr="007A20C3">
        <w:rPr>
          <w:rFonts w:cs="Times New Roman"/>
          <w:sz w:val="22"/>
        </w:rPr>
        <w:t xml:space="preserve"> </w:t>
      </w:r>
      <w:r w:rsidR="00A2785D" w:rsidRPr="007A20C3">
        <w:rPr>
          <w:rFonts w:cs="Times New Roman"/>
          <w:sz w:val="22"/>
        </w:rPr>
        <w:t xml:space="preserve">26 </w:t>
      </w:r>
      <w:r w:rsidR="00A2785D" w:rsidRPr="007A20C3">
        <w:rPr>
          <w:rFonts w:cs="Times New Roman"/>
          <w:i/>
          <w:iCs/>
          <w:sz w:val="22"/>
        </w:rPr>
        <w:t>Del. Admin. C.</w:t>
      </w:r>
      <w:r w:rsidR="00A2785D" w:rsidRPr="007A20C3">
        <w:rPr>
          <w:rFonts w:cs="Times New Roman"/>
          <w:sz w:val="22"/>
        </w:rPr>
        <w:t xml:space="preserve"> § 8002-</w:t>
      </w:r>
      <w:r w:rsidR="00A2785D" w:rsidRPr="007A20C3">
        <w:rPr>
          <w:rFonts w:eastAsia="Times New Roman" w:cs="Times New Roman"/>
          <w:color w:val="000000"/>
          <w:sz w:val="22"/>
        </w:rPr>
        <w:t>7.1.2 provides, “</w:t>
      </w:r>
      <w:r w:rsidR="00A2785D" w:rsidRPr="00B35874">
        <w:rPr>
          <w:rFonts w:eastAsia="Times New Roman" w:cs="Times New Roman"/>
          <w:color w:val="000000"/>
          <w:sz w:val="22"/>
        </w:rPr>
        <w:t xml:space="preserve">Unless staff and the respondent otherwise agree, </w:t>
      </w:r>
      <w:r w:rsidR="00A2785D" w:rsidRPr="00B35874">
        <w:rPr>
          <w:rFonts w:eastAsia="Times New Roman" w:cs="Times New Roman"/>
          <w:b/>
          <w:bCs/>
          <w:i/>
          <w:iCs/>
          <w:color w:val="000000"/>
          <w:sz w:val="22"/>
        </w:rPr>
        <w:t>the respondent shall reply in writing within 30 days of receipt of the warning letter</w:t>
      </w:r>
      <w:r w:rsidR="00A2785D" w:rsidRPr="00B35874">
        <w:rPr>
          <w:rFonts w:eastAsia="Times New Roman" w:cs="Times New Roman"/>
          <w:color w:val="000000"/>
          <w:sz w:val="22"/>
        </w:rPr>
        <w:t>.</w:t>
      </w:r>
      <w:r w:rsidR="00A2785D" w:rsidRPr="007A20C3">
        <w:rPr>
          <w:rFonts w:eastAsia="Times New Roman" w:cs="Times New Roman"/>
          <w:color w:val="000000"/>
          <w:sz w:val="22"/>
        </w:rPr>
        <w:t xml:space="preserve"> In responding to the warning letter, the respondent may submit a written plan to staff specifying actions that the respondent will take to correct the alleged violation, a schedule for completion of each action step, and a final date of completion. Respondent may also request an informal conference with staff in an effort to reach a mutually acceptable resolution of the alleged violation. If staff accepts the corrective plan submitted by the respondent, the warning letter will be deemed resolved without the need for further escalation to a notice of probable violation.” (emphasis added)</w:t>
      </w:r>
    </w:p>
    <w:p w14:paraId="50A15346" w14:textId="061168CB" w:rsidR="002D170D" w:rsidRDefault="002D170D">
      <w:pPr>
        <w:pStyle w:val="FootnoteText"/>
      </w:pPr>
    </w:p>
  </w:footnote>
  <w:footnote w:id="5">
    <w:p w14:paraId="338CD19D" w14:textId="3E2F77AF" w:rsidR="00A2785D" w:rsidRPr="001C1454" w:rsidRDefault="002D170D" w:rsidP="001C1454">
      <w:pPr>
        <w:shd w:val="clear" w:color="auto" w:fill="FFFFFF"/>
        <w:spacing w:line="320" w:lineRule="atLeast"/>
        <w:jc w:val="both"/>
        <w:rPr>
          <w:rFonts w:ascii="Source Sans Pro" w:eastAsia="Times New Roman" w:hAnsi="Source Sans Pro" w:cs="Times New Roman"/>
          <w:color w:val="000000"/>
          <w:szCs w:val="24"/>
        </w:rPr>
      </w:pPr>
      <w:r>
        <w:rPr>
          <w:rStyle w:val="FootnoteReference"/>
        </w:rPr>
        <w:footnoteRef/>
      </w:r>
      <w:r>
        <w:t xml:space="preserve"> </w:t>
      </w:r>
      <w:r w:rsidR="00A2785D" w:rsidRPr="001C1454">
        <w:rPr>
          <w:rFonts w:cs="Times New Roman"/>
          <w:sz w:val="22"/>
        </w:rPr>
        <w:t xml:space="preserve">Pursuant to 26 </w:t>
      </w:r>
      <w:r w:rsidR="00A2785D" w:rsidRPr="001C1454">
        <w:rPr>
          <w:rFonts w:cs="Times New Roman"/>
          <w:i/>
          <w:iCs/>
          <w:sz w:val="22"/>
        </w:rPr>
        <w:t>Del. Admin. C.</w:t>
      </w:r>
      <w:r w:rsidR="00A2785D" w:rsidRPr="001C1454">
        <w:rPr>
          <w:rFonts w:cs="Times New Roman"/>
          <w:sz w:val="22"/>
        </w:rPr>
        <w:t xml:space="preserve"> § 8002-7.3.1, </w:t>
      </w:r>
      <w:r w:rsidR="001C1454">
        <w:rPr>
          <w:rFonts w:cs="Times New Roman"/>
          <w:sz w:val="22"/>
        </w:rPr>
        <w:t>“</w:t>
      </w:r>
      <w:r w:rsidR="001C1454" w:rsidRPr="001C1454">
        <w:rPr>
          <w:rFonts w:eastAsia="Times New Roman" w:cs="Times New Roman"/>
          <w:b/>
          <w:bCs/>
          <w:color w:val="000000"/>
          <w:sz w:val="22"/>
        </w:rPr>
        <w:t>Within 30 days after receipt of an NOPV, the respondent shall respond in one of the following ways</w:t>
      </w:r>
      <w:r w:rsidR="00A2785D" w:rsidRPr="001C1454">
        <w:rPr>
          <w:rFonts w:cs="Times New Roman"/>
          <w:b/>
          <w:bCs/>
          <w:sz w:val="22"/>
        </w:rPr>
        <w:t xml:space="preserve">: </w:t>
      </w:r>
      <w:r w:rsidR="00A2785D" w:rsidRPr="001C1454">
        <w:rPr>
          <w:rFonts w:cs="Times New Roman"/>
          <w:sz w:val="22"/>
        </w:rPr>
        <w:t xml:space="preserve">(1) </w:t>
      </w:r>
      <w:r w:rsidR="00A2785D" w:rsidRPr="001C1454">
        <w:rPr>
          <w:rFonts w:eastAsia="Times New Roman" w:cs="Times New Roman"/>
          <w:color w:val="000000"/>
          <w:sz w:val="22"/>
        </w:rPr>
        <w:t>Sign the consent order and return it with payment of any proposed penalty; (2)</w:t>
      </w:r>
      <w:r w:rsidR="001C1454" w:rsidRPr="001C1454">
        <w:rPr>
          <w:rFonts w:eastAsia="Times New Roman" w:cs="Times New Roman"/>
          <w:color w:val="000000"/>
          <w:sz w:val="22"/>
        </w:rPr>
        <w:t xml:space="preserve"> Submit a written explanation, information, or other material in response to the allegations contained in the NOPV; (3) Request an informal conference with staff. Upon request for an informal conference, s</w:t>
      </w:r>
      <w:r w:rsidR="001C1454" w:rsidRPr="001C1454">
        <w:rPr>
          <w:rFonts w:eastAsia="Times New Roman" w:cs="Times New Roman"/>
          <w:color w:val="000000"/>
          <w:sz w:val="22"/>
          <w:bdr w:val="none" w:sz="0" w:space="0" w:color="auto" w:frame="1"/>
          <w:shd w:val="clear" w:color="auto" w:fill="FFFFFF"/>
        </w:rPr>
        <w:t>taff will establish a date, time, and location for the conference.</w:t>
      </w:r>
      <w:r w:rsidR="001C1454" w:rsidRPr="001C1454">
        <w:rPr>
          <w:rFonts w:eastAsia="Times New Roman" w:cs="Times New Roman"/>
          <w:color w:val="000000"/>
          <w:sz w:val="22"/>
        </w:rPr>
        <w:t xml:space="preserve"> At the informal conference, the respondent shall have the right to be represented by an attorney or other person and shall have the right to present relevant evidence. Any evidence that staff may have which indicates that the respondent may have violated this regulation shall be made available to the respondent, who shall have the opportunity to rebut this evidence, either at the informal conference, in</w:t>
      </w:r>
      <w:r w:rsidR="001C1454" w:rsidRPr="001C1454">
        <w:rPr>
          <w:rFonts w:eastAsia="Times New Roman" w:cs="Times New Roman"/>
          <w:color w:val="000000"/>
          <w:sz w:val="22"/>
          <w:bdr w:val="none" w:sz="0" w:space="0" w:color="auto" w:frame="1"/>
          <w:shd w:val="clear" w:color="auto" w:fill="FFFFFF"/>
        </w:rPr>
        <w:t xml:space="preserve"> writing within twenty days following the informal conference, or by other mutually agreed to arrangements; or (4) </w:t>
      </w:r>
      <w:r w:rsidR="001C1454">
        <w:rPr>
          <w:rFonts w:eastAsia="Times New Roman" w:cs="Times New Roman"/>
          <w:color w:val="000000"/>
          <w:sz w:val="22"/>
          <w:bdr w:val="none" w:sz="0" w:space="0" w:color="auto" w:frame="1"/>
          <w:shd w:val="clear" w:color="auto" w:fill="FFFFFF"/>
        </w:rPr>
        <w:t>I</w:t>
      </w:r>
      <w:r w:rsidR="001C1454" w:rsidRPr="001C1454">
        <w:rPr>
          <w:rFonts w:eastAsia="Times New Roman" w:cs="Times New Roman"/>
          <w:color w:val="000000"/>
          <w:sz w:val="22"/>
        </w:rPr>
        <w:t>n responding to the NOPV, the respondent may submit a written plan to staff specifying actions that the respondent will take to correct the alleged violation, a schedule for completion of each action step, a final date of completion, and payment of any proposed penalty. If staff accepts the corrective plan submitted by the respondent, staff and respondent may propose a consent order to the Commission in accordance with subsection 7.4</w:t>
      </w:r>
      <w:r w:rsidR="001C1454">
        <w:rPr>
          <w:rFonts w:eastAsia="Times New Roman" w:cs="Times New Roman"/>
          <w:color w:val="000000"/>
          <w:sz w:val="22"/>
        </w:rPr>
        <w:t>” (emphasis added).</w:t>
      </w:r>
    </w:p>
    <w:p w14:paraId="707B72C0" w14:textId="3C523BBE" w:rsidR="002D170D" w:rsidRPr="00A2785D" w:rsidRDefault="002D170D" w:rsidP="00A2785D">
      <w:pPr>
        <w:shd w:val="clear" w:color="auto" w:fill="FFFFFF"/>
        <w:rPr>
          <w:rFonts w:ascii="Source Sans Pro" w:eastAsia="Times New Roman" w:hAnsi="Source Sans Pro" w:cs="Times New Roman"/>
          <w:color w:val="000000"/>
          <w:sz w:val="22"/>
        </w:rPr>
      </w:pPr>
    </w:p>
    <w:p w14:paraId="558462CB" w14:textId="4AEE1AD2" w:rsidR="002D170D" w:rsidRDefault="002D17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19D7" w14:textId="02121012" w:rsidR="00731361" w:rsidRPr="0039161E" w:rsidRDefault="00731361" w:rsidP="00564D1D">
    <w:pPr>
      <w:widowControl w:val="0"/>
      <w:rPr>
        <w:rFonts w:eastAsia="Times New Roman" w:cs="Courier New"/>
        <w:snapToGrid w:val="0"/>
      </w:rPr>
    </w:pPr>
    <w:r w:rsidRPr="0039161E">
      <w:rPr>
        <w:rFonts w:eastAsia="Times New Roman" w:cs="Courier New"/>
        <w:snapToGrid w:val="0"/>
      </w:rPr>
      <w:t xml:space="preserve">PSC Docket No. </w:t>
    </w:r>
    <w:r w:rsidR="005F4758">
      <w:rPr>
        <w:rFonts w:eastAsia="Times New Roman" w:cs="Courier New"/>
        <w:snapToGrid w:val="0"/>
      </w:rPr>
      <w:t>2</w:t>
    </w:r>
    <w:r w:rsidR="00E66CD1">
      <w:rPr>
        <w:rFonts w:eastAsia="Times New Roman" w:cs="Courier New"/>
        <w:snapToGrid w:val="0"/>
      </w:rPr>
      <w:t>3</w:t>
    </w:r>
    <w:r w:rsidR="008758A8">
      <w:rPr>
        <w:rFonts w:eastAsia="Times New Roman" w:cs="Courier New"/>
        <w:snapToGrid w:val="0"/>
      </w:rPr>
      <w:t>-1140,</w:t>
    </w:r>
    <w:r w:rsidRPr="0039161E">
      <w:rPr>
        <w:rFonts w:eastAsia="Times New Roman" w:cs="Courier New"/>
        <w:snapToGrid w:val="0"/>
      </w:rPr>
      <w:t xml:space="preserve"> Order No. </w:t>
    </w:r>
    <w:r w:rsidR="00E66CD1">
      <w:rPr>
        <w:rFonts w:eastAsia="Times New Roman" w:cs="Courier New"/>
        <w:snapToGrid w:val="0"/>
      </w:rPr>
      <w:t>10</w:t>
    </w:r>
    <w:r w:rsidR="00B0480C">
      <w:rPr>
        <w:rFonts w:eastAsia="Times New Roman" w:cs="Courier New"/>
        <w:snapToGrid w:val="0"/>
      </w:rPr>
      <w:t>292</w:t>
    </w:r>
    <w:r w:rsidRPr="0039161E">
      <w:rPr>
        <w:rFonts w:eastAsia="Times New Roman" w:cs="Courier New"/>
        <w:snapToGrid w:val="0"/>
      </w:rPr>
      <w:t xml:space="preserve"> Cont’d</w:t>
    </w:r>
  </w:p>
  <w:p w14:paraId="602424B2" w14:textId="77777777" w:rsidR="00731361" w:rsidRDefault="00731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61"/>
    <w:rsid w:val="00032FBB"/>
    <w:rsid w:val="00053F3E"/>
    <w:rsid w:val="000B628B"/>
    <w:rsid w:val="00107C1E"/>
    <w:rsid w:val="001507F6"/>
    <w:rsid w:val="00160B37"/>
    <w:rsid w:val="001B2A6D"/>
    <w:rsid w:val="001B3E87"/>
    <w:rsid w:val="001C1454"/>
    <w:rsid w:val="001C189D"/>
    <w:rsid w:val="002169CB"/>
    <w:rsid w:val="002B69EF"/>
    <w:rsid w:val="002D170D"/>
    <w:rsid w:val="003518AF"/>
    <w:rsid w:val="0035541C"/>
    <w:rsid w:val="0039161E"/>
    <w:rsid w:val="00456243"/>
    <w:rsid w:val="00492A3C"/>
    <w:rsid w:val="004A432D"/>
    <w:rsid w:val="004B48A3"/>
    <w:rsid w:val="00525C82"/>
    <w:rsid w:val="0054160D"/>
    <w:rsid w:val="005532CD"/>
    <w:rsid w:val="005624C5"/>
    <w:rsid w:val="00596A66"/>
    <w:rsid w:val="005F4758"/>
    <w:rsid w:val="00624DCE"/>
    <w:rsid w:val="006448BA"/>
    <w:rsid w:val="0068561D"/>
    <w:rsid w:val="006A4DC5"/>
    <w:rsid w:val="007064E4"/>
    <w:rsid w:val="00731361"/>
    <w:rsid w:val="007A20C3"/>
    <w:rsid w:val="007A7CCB"/>
    <w:rsid w:val="007B2064"/>
    <w:rsid w:val="008268A7"/>
    <w:rsid w:val="008758A8"/>
    <w:rsid w:val="00897A4E"/>
    <w:rsid w:val="008A0352"/>
    <w:rsid w:val="008A4014"/>
    <w:rsid w:val="008A4EAF"/>
    <w:rsid w:val="008B733F"/>
    <w:rsid w:val="008C6EE9"/>
    <w:rsid w:val="008E5352"/>
    <w:rsid w:val="00901B0B"/>
    <w:rsid w:val="00941874"/>
    <w:rsid w:val="0094714A"/>
    <w:rsid w:val="009526A3"/>
    <w:rsid w:val="009643BA"/>
    <w:rsid w:val="009714D8"/>
    <w:rsid w:val="009732BD"/>
    <w:rsid w:val="009D79BB"/>
    <w:rsid w:val="009F5C1D"/>
    <w:rsid w:val="00A1554A"/>
    <w:rsid w:val="00A274A2"/>
    <w:rsid w:val="00A2785D"/>
    <w:rsid w:val="00A57274"/>
    <w:rsid w:val="00A861E7"/>
    <w:rsid w:val="00AE00E3"/>
    <w:rsid w:val="00B0480C"/>
    <w:rsid w:val="00B35874"/>
    <w:rsid w:val="00B7586C"/>
    <w:rsid w:val="00B8406D"/>
    <w:rsid w:val="00BE1618"/>
    <w:rsid w:val="00C040F6"/>
    <w:rsid w:val="00C17646"/>
    <w:rsid w:val="00C37024"/>
    <w:rsid w:val="00C408DB"/>
    <w:rsid w:val="00C52D4B"/>
    <w:rsid w:val="00C859DA"/>
    <w:rsid w:val="00CB1675"/>
    <w:rsid w:val="00D00575"/>
    <w:rsid w:val="00D50171"/>
    <w:rsid w:val="00DA18A7"/>
    <w:rsid w:val="00DB7753"/>
    <w:rsid w:val="00E128DE"/>
    <w:rsid w:val="00E16C87"/>
    <w:rsid w:val="00E27B1D"/>
    <w:rsid w:val="00E43A3A"/>
    <w:rsid w:val="00E65469"/>
    <w:rsid w:val="00E66CD1"/>
    <w:rsid w:val="00E757D1"/>
    <w:rsid w:val="00E7732F"/>
    <w:rsid w:val="00E81DC3"/>
    <w:rsid w:val="00E92D19"/>
    <w:rsid w:val="00EB658B"/>
    <w:rsid w:val="00EF615B"/>
    <w:rsid w:val="00FA1EC9"/>
    <w:rsid w:val="00FC6F37"/>
    <w:rsid w:val="00FD111E"/>
    <w:rsid w:val="00FE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DEE2"/>
  <w15:docId w15:val="{0BD5254A-F7AB-49E5-BE3A-8DF26DC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C5"/>
  </w:style>
  <w:style w:type="paragraph" w:styleId="Heading1">
    <w:name w:val="heading 1"/>
    <w:basedOn w:val="Normal"/>
    <w:next w:val="Normal"/>
    <w:link w:val="Heading1Char"/>
    <w:uiPriority w:val="9"/>
    <w:qFormat/>
    <w:rsid w:val="006A4DC5"/>
    <w:pPr>
      <w:keepNext/>
      <w:keepLines/>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FootnoteText">
    <w:name w:val="footnote text"/>
    <w:basedOn w:val="Normal"/>
    <w:link w:val="FootnoteTextChar"/>
    <w:uiPriority w:val="99"/>
    <w:semiHidden/>
    <w:unhideWhenUsed/>
    <w:rsid w:val="00731361"/>
    <w:rPr>
      <w:sz w:val="20"/>
      <w:szCs w:val="20"/>
    </w:rPr>
  </w:style>
  <w:style w:type="character" w:customStyle="1" w:styleId="FootnoteTextChar">
    <w:name w:val="Footnote Text Char"/>
    <w:basedOn w:val="DefaultParagraphFont"/>
    <w:link w:val="FootnoteText"/>
    <w:uiPriority w:val="99"/>
    <w:semiHidden/>
    <w:rsid w:val="00731361"/>
    <w:rPr>
      <w:sz w:val="20"/>
      <w:szCs w:val="20"/>
    </w:rPr>
  </w:style>
  <w:style w:type="paragraph" w:styleId="Footer">
    <w:name w:val="footer"/>
    <w:basedOn w:val="Normal"/>
    <w:link w:val="FooterChar"/>
    <w:uiPriority w:val="99"/>
    <w:unhideWhenUsed/>
    <w:rsid w:val="00731361"/>
    <w:pPr>
      <w:tabs>
        <w:tab w:val="center" w:pos="4680"/>
        <w:tab w:val="right" w:pos="9360"/>
      </w:tabs>
    </w:pPr>
  </w:style>
  <w:style w:type="character" w:customStyle="1" w:styleId="FooterChar">
    <w:name w:val="Footer Char"/>
    <w:basedOn w:val="DefaultParagraphFont"/>
    <w:link w:val="Footer"/>
    <w:uiPriority w:val="99"/>
    <w:rsid w:val="00731361"/>
  </w:style>
  <w:style w:type="paragraph" w:styleId="Header">
    <w:name w:val="header"/>
    <w:basedOn w:val="Normal"/>
    <w:link w:val="HeaderChar"/>
    <w:uiPriority w:val="99"/>
    <w:unhideWhenUsed/>
    <w:rsid w:val="00731361"/>
    <w:pPr>
      <w:tabs>
        <w:tab w:val="center" w:pos="4680"/>
        <w:tab w:val="right" w:pos="9360"/>
      </w:tabs>
    </w:pPr>
  </w:style>
  <w:style w:type="character" w:customStyle="1" w:styleId="HeaderChar">
    <w:name w:val="Header Char"/>
    <w:basedOn w:val="DefaultParagraphFont"/>
    <w:link w:val="Header"/>
    <w:uiPriority w:val="99"/>
    <w:rsid w:val="00731361"/>
  </w:style>
  <w:style w:type="character" w:styleId="FootnoteReference">
    <w:name w:val="footnote reference"/>
    <w:uiPriority w:val="99"/>
    <w:semiHidden/>
    <w:unhideWhenUsed/>
    <w:rsid w:val="00731361"/>
    <w:rPr>
      <w:vertAlign w:val="superscript"/>
    </w:rPr>
  </w:style>
  <w:style w:type="table" w:styleId="TableGrid">
    <w:name w:val="Table Grid"/>
    <w:basedOn w:val="TableNormal"/>
    <w:uiPriority w:val="59"/>
    <w:rsid w:val="0062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32F"/>
  </w:style>
  <w:style w:type="character" w:customStyle="1" w:styleId="cohl">
    <w:name w:val="co_hl"/>
    <w:basedOn w:val="DefaultParagraphFont"/>
    <w:rsid w:val="001C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353">
      <w:bodyDiv w:val="1"/>
      <w:marLeft w:val="0"/>
      <w:marRight w:val="0"/>
      <w:marTop w:val="0"/>
      <w:marBottom w:val="0"/>
      <w:divBdr>
        <w:top w:val="none" w:sz="0" w:space="0" w:color="auto"/>
        <w:left w:val="none" w:sz="0" w:space="0" w:color="auto"/>
        <w:bottom w:val="none" w:sz="0" w:space="0" w:color="auto"/>
        <w:right w:val="none" w:sz="0" w:space="0" w:color="auto"/>
      </w:divBdr>
      <w:divsChild>
        <w:div w:id="350498896">
          <w:marLeft w:val="0"/>
          <w:marRight w:val="0"/>
          <w:marTop w:val="0"/>
          <w:marBottom w:val="0"/>
          <w:divBdr>
            <w:top w:val="none" w:sz="0" w:space="0" w:color="3D3D3D"/>
            <w:left w:val="none" w:sz="0" w:space="0" w:color="3D3D3D"/>
            <w:bottom w:val="none" w:sz="0" w:space="0" w:color="3D3D3D"/>
            <w:right w:val="none" w:sz="0" w:space="0" w:color="3D3D3D"/>
          </w:divBdr>
        </w:div>
      </w:divsChild>
    </w:div>
    <w:div w:id="108091286">
      <w:bodyDiv w:val="1"/>
      <w:marLeft w:val="0"/>
      <w:marRight w:val="0"/>
      <w:marTop w:val="0"/>
      <w:marBottom w:val="0"/>
      <w:divBdr>
        <w:top w:val="none" w:sz="0" w:space="0" w:color="auto"/>
        <w:left w:val="none" w:sz="0" w:space="0" w:color="auto"/>
        <w:bottom w:val="none" w:sz="0" w:space="0" w:color="auto"/>
        <w:right w:val="none" w:sz="0" w:space="0" w:color="auto"/>
      </w:divBdr>
      <w:divsChild>
        <w:div w:id="629895957">
          <w:marLeft w:val="0"/>
          <w:marRight w:val="0"/>
          <w:marTop w:val="0"/>
          <w:marBottom w:val="0"/>
          <w:divBdr>
            <w:top w:val="none" w:sz="0" w:space="0" w:color="3D3D3D"/>
            <w:left w:val="none" w:sz="0" w:space="0" w:color="3D3D3D"/>
            <w:bottom w:val="none" w:sz="0" w:space="0" w:color="3D3D3D"/>
            <w:right w:val="none" w:sz="0" w:space="0" w:color="3D3D3D"/>
          </w:divBdr>
        </w:div>
      </w:divsChild>
    </w:div>
    <w:div w:id="333194118">
      <w:bodyDiv w:val="1"/>
      <w:marLeft w:val="0"/>
      <w:marRight w:val="0"/>
      <w:marTop w:val="0"/>
      <w:marBottom w:val="0"/>
      <w:divBdr>
        <w:top w:val="none" w:sz="0" w:space="0" w:color="auto"/>
        <w:left w:val="none" w:sz="0" w:space="0" w:color="auto"/>
        <w:bottom w:val="none" w:sz="0" w:space="0" w:color="auto"/>
        <w:right w:val="none" w:sz="0" w:space="0" w:color="auto"/>
      </w:divBdr>
    </w:div>
    <w:div w:id="489828547">
      <w:bodyDiv w:val="1"/>
      <w:marLeft w:val="0"/>
      <w:marRight w:val="0"/>
      <w:marTop w:val="0"/>
      <w:marBottom w:val="0"/>
      <w:divBdr>
        <w:top w:val="none" w:sz="0" w:space="0" w:color="auto"/>
        <w:left w:val="none" w:sz="0" w:space="0" w:color="auto"/>
        <w:bottom w:val="none" w:sz="0" w:space="0" w:color="auto"/>
        <w:right w:val="none" w:sz="0" w:space="0" w:color="auto"/>
      </w:divBdr>
      <w:divsChild>
        <w:div w:id="89012802">
          <w:marLeft w:val="0"/>
          <w:marRight w:val="0"/>
          <w:marTop w:val="0"/>
          <w:marBottom w:val="0"/>
          <w:divBdr>
            <w:top w:val="none" w:sz="0" w:space="0" w:color="3D3D3D"/>
            <w:left w:val="none" w:sz="0" w:space="0" w:color="3D3D3D"/>
            <w:bottom w:val="none" w:sz="0" w:space="0" w:color="3D3D3D"/>
            <w:right w:val="none" w:sz="0" w:space="0" w:color="3D3D3D"/>
          </w:divBdr>
        </w:div>
      </w:divsChild>
    </w:div>
    <w:div w:id="872576157">
      <w:bodyDiv w:val="1"/>
      <w:marLeft w:val="0"/>
      <w:marRight w:val="0"/>
      <w:marTop w:val="0"/>
      <w:marBottom w:val="0"/>
      <w:divBdr>
        <w:top w:val="none" w:sz="0" w:space="0" w:color="auto"/>
        <w:left w:val="none" w:sz="0" w:space="0" w:color="auto"/>
        <w:bottom w:val="none" w:sz="0" w:space="0" w:color="auto"/>
        <w:right w:val="none" w:sz="0" w:space="0" w:color="auto"/>
      </w:divBdr>
      <w:divsChild>
        <w:div w:id="464737551">
          <w:marLeft w:val="0"/>
          <w:marRight w:val="0"/>
          <w:marTop w:val="0"/>
          <w:marBottom w:val="0"/>
          <w:divBdr>
            <w:top w:val="none" w:sz="0" w:space="0" w:color="3D3D3D"/>
            <w:left w:val="none" w:sz="0" w:space="0" w:color="3D3D3D"/>
            <w:bottom w:val="none" w:sz="0" w:space="0" w:color="3D3D3D"/>
            <w:right w:val="none" w:sz="0" w:space="0" w:color="3D3D3D"/>
          </w:divBdr>
        </w:div>
      </w:divsChild>
    </w:div>
    <w:div w:id="1324578282">
      <w:bodyDiv w:val="1"/>
      <w:marLeft w:val="0"/>
      <w:marRight w:val="0"/>
      <w:marTop w:val="0"/>
      <w:marBottom w:val="0"/>
      <w:divBdr>
        <w:top w:val="none" w:sz="0" w:space="0" w:color="auto"/>
        <w:left w:val="none" w:sz="0" w:space="0" w:color="auto"/>
        <w:bottom w:val="none" w:sz="0" w:space="0" w:color="auto"/>
        <w:right w:val="none" w:sz="0" w:space="0" w:color="auto"/>
      </w:divBdr>
      <w:divsChild>
        <w:div w:id="1732003914">
          <w:marLeft w:val="0"/>
          <w:marRight w:val="0"/>
          <w:marTop w:val="0"/>
          <w:marBottom w:val="0"/>
          <w:divBdr>
            <w:top w:val="none" w:sz="0" w:space="0" w:color="3D3D3D"/>
            <w:left w:val="none" w:sz="0" w:space="0" w:color="3D3D3D"/>
            <w:bottom w:val="none" w:sz="0" w:space="0" w:color="3D3D3D"/>
            <w:right w:val="none" w:sz="0" w:space="0" w:color="3D3D3D"/>
          </w:divBdr>
          <w:divsChild>
            <w:div w:id="832918706">
              <w:marLeft w:val="0"/>
              <w:marRight w:val="0"/>
              <w:marTop w:val="0"/>
              <w:marBottom w:val="0"/>
              <w:divBdr>
                <w:top w:val="none" w:sz="0" w:space="0" w:color="3D3D3D"/>
                <w:left w:val="none" w:sz="0" w:space="0" w:color="3D3D3D"/>
                <w:bottom w:val="none" w:sz="0" w:space="0" w:color="3D3D3D"/>
                <w:right w:val="none" w:sz="0" w:space="0" w:color="3D3D3D"/>
              </w:divBdr>
              <w:divsChild>
                <w:div w:id="1719934225">
                  <w:marLeft w:val="0"/>
                  <w:marRight w:val="0"/>
                  <w:marTop w:val="0"/>
                  <w:marBottom w:val="0"/>
                  <w:divBdr>
                    <w:top w:val="none" w:sz="0" w:space="0" w:color="3D3D3D"/>
                    <w:left w:val="none" w:sz="0" w:space="0" w:color="3D3D3D"/>
                    <w:bottom w:val="none" w:sz="0" w:space="0" w:color="3D3D3D"/>
                    <w:right w:val="none" w:sz="0" w:space="0" w:color="3D3D3D"/>
                  </w:divBdr>
                </w:div>
              </w:divsChild>
            </w:div>
            <w:div w:id="1552383500">
              <w:marLeft w:val="0"/>
              <w:marRight w:val="0"/>
              <w:marTop w:val="240"/>
              <w:marBottom w:val="0"/>
              <w:divBdr>
                <w:top w:val="none" w:sz="0" w:space="0" w:color="3D3D3D"/>
                <w:left w:val="none" w:sz="0" w:space="0" w:color="3D3D3D"/>
                <w:bottom w:val="none" w:sz="0" w:space="0" w:color="3D3D3D"/>
                <w:right w:val="none" w:sz="0" w:space="0" w:color="3D3D3D"/>
              </w:divBdr>
              <w:divsChild>
                <w:div w:id="1286541315">
                  <w:marLeft w:val="0"/>
                  <w:marRight w:val="0"/>
                  <w:marTop w:val="0"/>
                  <w:marBottom w:val="0"/>
                  <w:divBdr>
                    <w:top w:val="none" w:sz="0" w:space="0" w:color="3D3D3D"/>
                    <w:left w:val="none" w:sz="0" w:space="0" w:color="3D3D3D"/>
                    <w:bottom w:val="none" w:sz="0" w:space="0" w:color="3D3D3D"/>
                    <w:right w:val="none" w:sz="0" w:space="0" w:color="3D3D3D"/>
                  </w:divBdr>
                  <w:divsChild>
                    <w:div w:id="1540778630">
                      <w:marLeft w:val="0"/>
                      <w:marRight w:val="0"/>
                      <w:marTop w:val="0"/>
                      <w:marBottom w:val="0"/>
                      <w:divBdr>
                        <w:top w:val="none" w:sz="0" w:space="0" w:color="3D3D3D"/>
                        <w:left w:val="none" w:sz="0" w:space="12" w:color="3D3D3D"/>
                        <w:bottom w:val="none" w:sz="0" w:space="0" w:color="3D3D3D"/>
                        <w:right w:val="none" w:sz="0" w:space="0" w:color="3D3D3D"/>
                      </w:divBdr>
                    </w:div>
                  </w:divsChild>
                </w:div>
              </w:divsChild>
            </w:div>
            <w:div w:id="108546359">
              <w:marLeft w:val="0"/>
              <w:marRight w:val="0"/>
              <w:marTop w:val="240"/>
              <w:marBottom w:val="0"/>
              <w:divBdr>
                <w:top w:val="none" w:sz="0" w:space="0" w:color="3D3D3D"/>
                <w:left w:val="none" w:sz="0" w:space="0" w:color="3D3D3D"/>
                <w:bottom w:val="none" w:sz="0" w:space="0" w:color="3D3D3D"/>
                <w:right w:val="none" w:sz="0" w:space="0" w:color="3D3D3D"/>
              </w:divBdr>
              <w:divsChild>
                <w:div w:id="1952397940">
                  <w:marLeft w:val="0"/>
                  <w:marRight w:val="0"/>
                  <w:marTop w:val="0"/>
                  <w:marBottom w:val="0"/>
                  <w:divBdr>
                    <w:top w:val="none" w:sz="0" w:space="0" w:color="3D3D3D"/>
                    <w:left w:val="none" w:sz="0" w:space="0" w:color="3D3D3D"/>
                    <w:bottom w:val="none" w:sz="0" w:space="0" w:color="3D3D3D"/>
                    <w:right w:val="none" w:sz="0" w:space="0" w:color="3D3D3D"/>
                  </w:divBdr>
                  <w:divsChild>
                    <w:div w:id="1165049793">
                      <w:marLeft w:val="0"/>
                      <w:marRight w:val="0"/>
                      <w:marTop w:val="0"/>
                      <w:marBottom w:val="0"/>
                      <w:divBdr>
                        <w:top w:val="none" w:sz="0" w:space="0" w:color="3D3D3D"/>
                        <w:left w:val="none" w:sz="0" w:space="12" w:color="3D3D3D"/>
                        <w:bottom w:val="none" w:sz="0" w:space="0" w:color="3D3D3D"/>
                        <w:right w:val="none" w:sz="0" w:space="0" w:color="3D3D3D"/>
                      </w:divBdr>
                    </w:div>
                  </w:divsChild>
                </w:div>
                <w:div w:id="696127519">
                  <w:marLeft w:val="0"/>
                  <w:marRight w:val="0"/>
                  <w:marTop w:val="240"/>
                  <w:marBottom w:val="0"/>
                  <w:divBdr>
                    <w:top w:val="none" w:sz="0" w:space="0" w:color="3D3D3D"/>
                    <w:left w:val="none" w:sz="0" w:space="0" w:color="3D3D3D"/>
                    <w:bottom w:val="none" w:sz="0" w:space="0" w:color="3D3D3D"/>
                    <w:right w:val="none" w:sz="0" w:space="0" w:color="3D3D3D"/>
                  </w:divBdr>
                  <w:divsChild>
                    <w:div w:id="447480046">
                      <w:marLeft w:val="0"/>
                      <w:marRight w:val="0"/>
                      <w:marTop w:val="0"/>
                      <w:marBottom w:val="0"/>
                      <w:divBdr>
                        <w:top w:val="none" w:sz="0" w:space="0" w:color="3D3D3D"/>
                        <w:left w:val="none" w:sz="0" w:space="0" w:color="3D3D3D"/>
                        <w:bottom w:val="none" w:sz="0" w:space="0" w:color="3D3D3D"/>
                        <w:right w:val="none" w:sz="0" w:space="0" w:color="3D3D3D"/>
                      </w:divBdr>
                      <w:divsChild>
                        <w:div w:id="179319232">
                          <w:marLeft w:val="0"/>
                          <w:marRight w:val="0"/>
                          <w:marTop w:val="0"/>
                          <w:marBottom w:val="0"/>
                          <w:divBdr>
                            <w:top w:val="none" w:sz="0" w:space="0" w:color="3D3D3D"/>
                            <w:left w:val="none" w:sz="0" w:space="27" w:color="3D3D3D"/>
                            <w:bottom w:val="none" w:sz="0" w:space="0" w:color="3D3D3D"/>
                            <w:right w:val="none" w:sz="0" w:space="0" w:color="3D3D3D"/>
                          </w:divBdr>
                        </w:div>
                      </w:divsChild>
                    </w:div>
                  </w:divsChild>
                </w:div>
                <w:div w:id="1914850325">
                  <w:marLeft w:val="0"/>
                  <w:marRight w:val="0"/>
                  <w:marTop w:val="240"/>
                  <w:marBottom w:val="0"/>
                  <w:divBdr>
                    <w:top w:val="none" w:sz="0" w:space="0" w:color="3D3D3D"/>
                    <w:left w:val="none" w:sz="0" w:space="0" w:color="3D3D3D"/>
                    <w:bottom w:val="none" w:sz="0" w:space="0" w:color="3D3D3D"/>
                    <w:right w:val="none" w:sz="0" w:space="0" w:color="3D3D3D"/>
                  </w:divBdr>
                  <w:divsChild>
                    <w:div w:id="1440224877">
                      <w:marLeft w:val="0"/>
                      <w:marRight w:val="0"/>
                      <w:marTop w:val="0"/>
                      <w:marBottom w:val="0"/>
                      <w:divBdr>
                        <w:top w:val="none" w:sz="0" w:space="0" w:color="3D3D3D"/>
                        <w:left w:val="none" w:sz="0" w:space="0" w:color="3D3D3D"/>
                        <w:bottom w:val="none" w:sz="0" w:space="0" w:color="3D3D3D"/>
                        <w:right w:val="none" w:sz="0" w:space="0" w:color="3D3D3D"/>
                      </w:divBdr>
                      <w:divsChild>
                        <w:div w:id="1999185855">
                          <w:marLeft w:val="0"/>
                          <w:marRight w:val="0"/>
                          <w:marTop w:val="0"/>
                          <w:marBottom w:val="0"/>
                          <w:divBdr>
                            <w:top w:val="none" w:sz="0" w:space="0" w:color="3D3D3D"/>
                            <w:left w:val="none" w:sz="0" w:space="27" w:color="3D3D3D"/>
                            <w:bottom w:val="none" w:sz="0" w:space="0" w:color="3D3D3D"/>
                            <w:right w:val="none" w:sz="0" w:space="0" w:color="3D3D3D"/>
                          </w:divBdr>
                        </w:div>
                      </w:divsChild>
                    </w:div>
                  </w:divsChild>
                </w:div>
                <w:div w:id="1912958507">
                  <w:marLeft w:val="0"/>
                  <w:marRight w:val="0"/>
                  <w:marTop w:val="240"/>
                  <w:marBottom w:val="0"/>
                  <w:divBdr>
                    <w:top w:val="none" w:sz="0" w:space="0" w:color="3D3D3D"/>
                    <w:left w:val="none" w:sz="0" w:space="0" w:color="3D3D3D"/>
                    <w:bottom w:val="none" w:sz="0" w:space="0" w:color="3D3D3D"/>
                    <w:right w:val="none" w:sz="0" w:space="0" w:color="3D3D3D"/>
                  </w:divBdr>
                  <w:divsChild>
                    <w:div w:id="815335561">
                      <w:marLeft w:val="0"/>
                      <w:marRight w:val="0"/>
                      <w:marTop w:val="0"/>
                      <w:marBottom w:val="0"/>
                      <w:divBdr>
                        <w:top w:val="none" w:sz="0" w:space="0" w:color="3D3D3D"/>
                        <w:left w:val="none" w:sz="0" w:space="0" w:color="3D3D3D"/>
                        <w:bottom w:val="none" w:sz="0" w:space="0" w:color="3D3D3D"/>
                        <w:right w:val="none" w:sz="0" w:space="0" w:color="3D3D3D"/>
                      </w:divBdr>
                      <w:divsChild>
                        <w:div w:id="1345666821">
                          <w:marLeft w:val="0"/>
                          <w:marRight w:val="0"/>
                          <w:marTop w:val="0"/>
                          <w:marBottom w:val="0"/>
                          <w:divBdr>
                            <w:top w:val="none" w:sz="0" w:space="0" w:color="3D3D3D"/>
                            <w:left w:val="none" w:sz="0" w:space="27" w:color="3D3D3D"/>
                            <w:bottom w:val="none" w:sz="0" w:space="0" w:color="3D3D3D"/>
                            <w:right w:val="none" w:sz="0" w:space="0" w:color="3D3D3D"/>
                          </w:divBdr>
                        </w:div>
                      </w:divsChild>
                    </w:div>
                  </w:divsChild>
                </w:div>
              </w:divsChild>
            </w:div>
          </w:divsChild>
        </w:div>
      </w:divsChild>
    </w:div>
    <w:div w:id="1538857517">
      <w:bodyDiv w:val="1"/>
      <w:marLeft w:val="0"/>
      <w:marRight w:val="0"/>
      <w:marTop w:val="0"/>
      <w:marBottom w:val="0"/>
      <w:divBdr>
        <w:top w:val="none" w:sz="0" w:space="0" w:color="auto"/>
        <w:left w:val="none" w:sz="0" w:space="0" w:color="auto"/>
        <w:bottom w:val="none" w:sz="0" w:space="0" w:color="auto"/>
        <w:right w:val="none" w:sz="0" w:space="0" w:color="auto"/>
      </w:divBdr>
      <w:divsChild>
        <w:div w:id="1815756720">
          <w:marLeft w:val="0"/>
          <w:marRight w:val="0"/>
          <w:marTop w:val="0"/>
          <w:marBottom w:val="0"/>
          <w:divBdr>
            <w:top w:val="none" w:sz="0" w:space="0" w:color="3D3D3D"/>
            <w:left w:val="none" w:sz="0" w:space="0" w:color="3D3D3D"/>
            <w:bottom w:val="none" w:sz="0" w:space="0" w:color="3D3D3D"/>
            <w:right w:val="none" w:sz="0" w:space="0" w:color="3D3D3D"/>
          </w:divBdr>
        </w:div>
      </w:divsChild>
    </w:div>
    <w:div w:id="1693413745">
      <w:bodyDiv w:val="1"/>
      <w:marLeft w:val="0"/>
      <w:marRight w:val="0"/>
      <w:marTop w:val="0"/>
      <w:marBottom w:val="0"/>
      <w:divBdr>
        <w:top w:val="none" w:sz="0" w:space="0" w:color="auto"/>
        <w:left w:val="none" w:sz="0" w:space="0" w:color="auto"/>
        <w:bottom w:val="none" w:sz="0" w:space="0" w:color="auto"/>
        <w:right w:val="none" w:sz="0" w:space="0" w:color="auto"/>
      </w:divBdr>
      <w:divsChild>
        <w:div w:id="475686164">
          <w:marLeft w:val="0"/>
          <w:marRight w:val="0"/>
          <w:marTop w:val="0"/>
          <w:marBottom w:val="0"/>
          <w:divBdr>
            <w:top w:val="none" w:sz="0" w:space="0" w:color="3D3D3D"/>
            <w:left w:val="none" w:sz="0" w:space="0" w:color="3D3D3D"/>
            <w:bottom w:val="none" w:sz="0" w:space="0" w:color="3D3D3D"/>
            <w:right w:val="none" w:sz="0" w:space="0" w:color="3D3D3D"/>
          </w:divBdr>
        </w:div>
      </w:divsChild>
    </w:div>
    <w:div w:id="1695306932">
      <w:bodyDiv w:val="1"/>
      <w:marLeft w:val="0"/>
      <w:marRight w:val="0"/>
      <w:marTop w:val="0"/>
      <w:marBottom w:val="0"/>
      <w:divBdr>
        <w:top w:val="none" w:sz="0" w:space="0" w:color="auto"/>
        <w:left w:val="none" w:sz="0" w:space="0" w:color="auto"/>
        <w:bottom w:val="none" w:sz="0" w:space="0" w:color="auto"/>
        <w:right w:val="none" w:sz="0" w:space="0" w:color="auto"/>
      </w:divBdr>
      <w:divsChild>
        <w:div w:id="1027025615">
          <w:marLeft w:val="0"/>
          <w:marRight w:val="0"/>
          <w:marTop w:val="0"/>
          <w:marBottom w:val="0"/>
          <w:divBdr>
            <w:top w:val="none" w:sz="0" w:space="0" w:color="3D3D3D"/>
            <w:left w:val="none" w:sz="0" w:space="0" w:color="3D3D3D"/>
            <w:bottom w:val="none" w:sz="0" w:space="0" w:color="3D3D3D"/>
            <w:right w:val="none" w:sz="0" w:space="0" w:color="3D3D3D"/>
          </w:divBdr>
        </w:div>
      </w:divsChild>
    </w:div>
    <w:div w:id="1807894484">
      <w:bodyDiv w:val="1"/>
      <w:marLeft w:val="0"/>
      <w:marRight w:val="0"/>
      <w:marTop w:val="0"/>
      <w:marBottom w:val="0"/>
      <w:divBdr>
        <w:top w:val="none" w:sz="0" w:space="0" w:color="auto"/>
        <w:left w:val="none" w:sz="0" w:space="0" w:color="auto"/>
        <w:bottom w:val="none" w:sz="0" w:space="0" w:color="auto"/>
        <w:right w:val="none" w:sz="0" w:space="0" w:color="auto"/>
      </w:divBdr>
      <w:divsChild>
        <w:div w:id="541096614">
          <w:marLeft w:val="0"/>
          <w:marRight w:val="0"/>
          <w:marTop w:val="0"/>
          <w:marBottom w:val="0"/>
          <w:divBdr>
            <w:top w:val="none" w:sz="0" w:space="0" w:color="3D3D3D"/>
            <w:left w:val="none" w:sz="0" w:space="0" w:color="3D3D3D"/>
            <w:bottom w:val="none" w:sz="0" w:space="0" w:color="3D3D3D"/>
            <w:right w:val="none" w:sz="0" w:space="0" w:color="3D3D3D"/>
          </w:divBdr>
        </w:div>
      </w:divsChild>
    </w:div>
    <w:div w:id="1946032965">
      <w:bodyDiv w:val="1"/>
      <w:marLeft w:val="0"/>
      <w:marRight w:val="0"/>
      <w:marTop w:val="0"/>
      <w:marBottom w:val="0"/>
      <w:divBdr>
        <w:top w:val="none" w:sz="0" w:space="0" w:color="auto"/>
        <w:left w:val="none" w:sz="0" w:space="0" w:color="auto"/>
        <w:bottom w:val="none" w:sz="0" w:space="0" w:color="auto"/>
        <w:right w:val="none" w:sz="0" w:space="0" w:color="auto"/>
      </w:divBdr>
      <w:divsChild>
        <w:div w:id="1428186776">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87336F6-9DBA-4221-AE21-47AFE55B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916</Words>
  <Characters>5225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Donoghue, Julie M (DOS)</dc:creator>
  <cp:lastModifiedBy>Steele, Naomi (DOS)</cp:lastModifiedBy>
  <cp:revision>2</cp:revision>
  <dcterms:created xsi:type="dcterms:W3CDTF">2023-09-07T14:26:00Z</dcterms:created>
  <dcterms:modified xsi:type="dcterms:W3CDTF">2023-09-07T14:26:00Z</dcterms:modified>
</cp:coreProperties>
</file>