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2142" w14:textId="5B40468A" w:rsidR="002C6834" w:rsidRDefault="002C6834" w:rsidP="002C6834">
      <w:pPr>
        <w:widowControl w:val="0"/>
        <w:autoSpaceDE w:val="0"/>
        <w:autoSpaceDN w:val="0"/>
        <w:spacing w:after="0" w:line="240" w:lineRule="auto"/>
        <w:jc w:val="center"/>
        <w:rPr>
          <w:rFonts w:eastAsia="Times New Roman"/>
          <w:b/>
          <w:color w:val="282828"/>
          <w:spacing w:val="-2"/>
          <w:w w:val="105"/>
        </w:rPr>
      </w:pPr>
      <w:r w:rsidRPr="00984480">
        <w:rPr>
          <w:rFonts w:eastAsia="Times New Roman"/>
          <w:b/>
          <w:color w:val="282828"/>
          <w:spacing w:val="-2"/>
          <w:w w:val="105"/>
        </w:rPr>
        <w:t>BEFORE THE PUBLIC SERVICE COMMISSION</w:t>
      </w:r>
    </w:p>
    <w:p w14:paraId="4BDF06FB" w14:textId="77777777" w:rsidR="000913A9" w:rsidRPr="00984480" w:rsidRDefault="000913A9" w:rsidP="002C6834">
      <w:pPr>
        <w:widowControl w:val="0"/>
        <w:autoSpaceDE w:val="0"/>
        <w:autoSpaceDN w:val="0"/>
        <w:spacing w:after="0" w:line="240" w:lineRule="auto"/>
        <w:jc w:val="center"/>
        <w:rPr>
          <w:rFonts w:eastAsia="Times New Roman"/>
          <w:b/>
          <w:color w:val="282828"/>
          <w:spacing w:val="-2"/>
          <w:w w:val="105"/>
        </w:rPr>
      </w:pPr>
    </w:p>
    <w:p w14:paraId="63CFACE1" w14:textId="5E3FFB89" w:rsidR="002C6834" w:rsidRPr="00984480" w:rsidRDefault="00E701C9" w:rsidP="002C6834">
      <w:pPr>
        <w:widowControl w:val="0"/>
        <w:autoSpaceDE w:val="0"/>
        <w:autoSpaceDN w:val="0"/>
        <w:spacing w:after="0" w:line="240" w:lineRule="auto"/>
        <w:jc w:val="center"/>
        <w:rPr>
          <w:rFonts w:eastAsia="Times New Roman"/>
          <w:bCs/>
          <w:color w:val="282828"/>
          <w:w w:val="105"/>
        </w:rPr>
      </w:pPr>
      <w:r>
        <w:rPr>
          <w:rFonts w:eastAsia="Times New Roman"/>
          <w:b/>
          <w:color w:val="282828"/>
          <w:spacing w:val="-2"/>
          <w:w w:val="105"/>
        </w:rPr>
        <w:t xml:space="preserve">OF </w:t>
      </w:r>
      <w:r w:rsidR="002C6834" w:rsidRPr="00984480">
        <w:rPr>
          <w:rFonts w:eastAsia="Times New Roman"/>
          <w:b/>
          <w:color w:val="282828"/>
          <w:spacing w:val="-2"/>
          <w:w w:val="105"/>
        </w:rPr>
        <w:t>THE STATE OF DELAWARE</w:t>
      </w:r>
    </w:p>
    <w:p w14:paraId="31281928" w14:textId="77777777" w:rsidR="002C6834" w:rsidRPr="00984480" w:rsidRDefault="002C6834" w:rsidP="002C6834">
      <w:pPr>
        <w:widowControl w:val="0"/>
        <w:autoSpaceDE w:val="0"/>
        <w:autoSpaceDN w:val="0"/>
        <w:spacing w:after="0" w:line="240" w:lineRule="auto"/>
        <w:ind w:left="569" w:hanging="569"/>
        <w:rPr>
          <w:rFonts w:eastAsia="Times New Roman"/>
          <w:bCs/>
          <w:color w:val="282828"/>
          <w:w w:val="105"/>
        </w:rPr>
      </w:pPr>
    </w:p>
    <w:p w14:paraId="6A59D46B" w14:textId="77777777" w:rsidR="002C6834" w:rsidRPr="00984480" w:rsidRDefault="002C6834" w:rsidP="002C6834">
      <w:pPr>
        <w:widowControl w:val="0"/>
        <w:autoSpaceDE w:val="0"/>
        <w:autoSpaceDN w:val="0"/>
        <w:spacing w:after="0" w:line="240" w:lineRule="auto"/>
        <w:ind w:left="569" w:hanging="569"/>
        <w:rPr>
          <w:rFonts w:eastAsia="Times New Roman"/>
          <w:bCs/>
          <w:color w:val="282828"/>
          <w:spacing w:val="-2"/>
          <w:w w:val="105"/>
        </w:rPr>
      </w:pPr>
      <w:r w:rsidRPr="00984480">
        <w:rPr>
          <w:rFonts w:eastAsia="Times New Roman"/>
          <w:bCs/>
          <w:color w:val="282828"/>
          <w:w w:val="105"/>
        </w:rPr>
        <w:t xml:space="preserve">IN THE MATTER OF </w:t>
      </w:r>
      <w:r w:rsidRPr="00984480">
        <w:rPr>
          <w:rFonts w:eastAsia="Times New Roman"/>
          <w:bCs/>
          <w:color w:val="282828"/>
          <w:spacing w:val="-2"/>
          <w:w w:val="105"/>
        </w:rPr>
        <w:t>DELMARVA</w:t>
      </w:r>
      <w:r w:rsidRPr="00984480">
        <w:rPr>
          <w:rFonts w:eastAsia="Times New Roman"/>
          <w:bCs/>
          <w:color w:val="282828"/>
          <w:spacing w:val="-2"/>
          <w:w w:val="105"/>
        </w:rPr>
        <w:tab/>
      </w:r>
      <w:r w:rsidRPr="00984480">
        <w:rPr>
          <w:rFonts w:eastAsia="Times New Roman"/>
          <w:bCs/>
          <w:color w:val="282828"/>
          <w:spacing w:val="-2"/>
          <w:w w:val="105"/>
        </w:rPr>
        <w:tab/>
        <w:t>)</w:t>
      </w:r>
    </w:p>
    <w:p w14:paraId="1336F241" w14:textId="77777777" w:rsidR="002C6834" w:rsidRPr="00984480" w:rsidRDefault="002C6834" w:rsidP="002C6834">
      <w:pPr>
        <w:widowControl w:val="0"/>
        <w:autoSpaceDE w:val="0"/>
        <w:autoSpaceDN w:val="0"/>
        <w:spacing w:after="0" w:line="240" w:lineRule="auto"/>
        <w:ind w:left="569" w:hanging="569"/>
        <w:rPr>
          <w:rFonts w:eastAsia="Times New Roman"/>
          <w:bCs/>
          <w:color w:val="282828"/>
          <w:spacing w:val="-2"/>
          <w:w w:val="105"/>
        </w:rPr>
      </w:pPr>
      <w:r w:rsidRPr="00984480">
        <w:rPr>
          <w:rFonts w:eastAsia="Times New Roman"/>
          <w:bCs/>
          <w:color w:val="282828"/>
          <w:spacing w:val="-2"/>
          <w:w w:val="105"/>
        </w:rPr>
        <w:t>POWER ANNUAL UPDATE FOR 2022</w:t>
      </w:r>
      <w:r w:rsidRPr="00984480">
        <w:rPr>
          <w:rFonts w:eastAsia="Times New Roman"/>
          <w:bCs/>
          <w:color w:val="282828"/>
          <w:spacing w:val="-10"/>
          <w:w w:val="105"/>
        </w:rPr>
        <w:t xml:space="preserve"> </w:t>
      </w:r>
      <w:r w:rsidRPr="00984480">
        <w:rPr>
          <w:rFonts w:eastAsia="Times New Roman"/>
          <w:bCs/>
          <w:color w:val="282828"/>
          <w:spacing w:val="-10"/>
          <w:w w:val="105"/>
        </w:rPr>
        <w:tab/>
      </w:r>
      <w:r w:rsidRPr="00984480">
        <w:rPr>
          <w:rFonts w:eastAsia="Times New Roman"/>
          <w:bCs/>
          <w:color w:val="282828"/>
          <w:spacing w:val="-10"/>
          <w:w w:val="105"/>
        </w:rPr>
        <w:tab/>
        <w:t>)</w:t>
      </w:r>
    </w:p>
    <w:p w14:paraId="3DF851E0" w14:textId="6FC263EE" w:rsidR="002C6834" w:rsidRPr="00984480" w:rsidRDefault="002C6834" w:rsidP="002C6834">
      <w:pPr>
        <w:widowControl w:val="0"/>
        <w:autoSpaceDE w:val="0"/>
        <w:autoSpaceDN w:val="0"/>
        <w:spacing w:after="0" w:line="240" w:lineRule="auto"/>
        <w:ind w:left="569" w:hanging="569"/>
        <w:rPr>
          <w:rFonts w:eastAsia="Times New Roman"/>
          <w:bCs/>
          <w:color w:val="282828"/>
          <w:w w:val="105"/>
        </w:rPr>
      </w:pPr>
      <w:r w:rsidRPr="00984480">
        <w:rPr>
          <w:rFonts w:eastAsia="Times New Roman"/>
          <w:bCs/>
          <w:color w:val="282828"/>
          <w:w w:val="105"/>
        </w:rPr>
        <w:t xml:space="preserve">INFRASTRUCTURE SAFETY </w:t>
      </w:r>
      <w:r w:rsidRPr="00984480">
        <w:rPr>
          <w:rFonts w:eastAsia="Times New Roman"/>
          <w:bCs/>
          <w:color w:val="282828"/>
          <w:w w:val="105"/>
        </w:rPr>
        <w:tab/>
      </w:r>
      <w:r w:rsidRPr="00984480">
        <w:rPr>
          <w:rFonts w:eastAsia="Times New Roman"/>
          <w:bCs/>
          <w:color w:val="282828"/>
          <w:w w:val="105"/>
        </w:rPr>
        <w:tab/>
      </w:r>
      <w:r w:rsidRPr="00984480">
        <w:rPr>
          <w:rFonts w:eastAsia="Times New Roman"/>
          <w:bCs/>
          <w:color w:val="282828"/>
          <w:w w:val="105"/>
        </w:rPr>
        <w:tab/>
        <w:t>)</w:t>
      </w:r>
      <w:r w:rsidRPr="00984480">
        <w:rPr>
          <w:rFonts w:eastAsia="Times New Roman"/>
          <w:bCs/>
          <w:color w:val="282828"/>
          <w:w w:val="105"/>
        </w:rPr>
        <w:tab/>
        <w:t>PSC</w:t>
      </w:r>
      <w:r w:rsidRPr="00984480">
        <w:rPr>
          <w:rFonts w:eastAsia="Times New Roman"/>
          <w:bCs/>
          <w:color w:val="282828"/>
          <w:spacing w:val="-16"/>
          <w:w w:val="105"/>
        </w:rPr>
        <w:t xml:space="preserve"> </w:t>
      </w:r>
      <w:r w:rsidRPr="00984480">
        <w:rPr>
          <w:rFonts w:eastAsia="Times New Roman"/>
          <w:bCs/>
          <w:color w:val="282828"/>
          <w:w w:val="105"/>
        </w:rPr>
        <w:t>DOCKET</w:t>
      </w:r>
      <w:r w:rsidRPr="00984480">
        <w:rPr>
          <w:rFonts w:eastAsia="Times New Roman"/>
          <w:bCs/>
          <w:color w:val="282828"/>
          <w:spacing w:val="-5"/>
          <w:w w:val="105"/>
        </w:rPr>
        <w:t xml:space="preserve"> </w:t>
      </w:r>
      <w:r w:rsidRPr="00984480">
        <w:rPr>
          <w:rFonts w:eastAsia="Times New Roman"/>
          <w:bCs/>
          <w:color w:val="282828"/>
          <w:w w:val="105"/>
        </w:rPr>
        <w:t>NO.</w:t>
      </w:r>
      <w:r w:rsidRPr="00984480">
        <w:rPr>
          <w:rFonts w:eastAsia="Times New Roman"/>
          <w:bCs/>
          <w:color w:val="282828"/>
          <w:spacing w:val="-15"/>
          <w:w w:val="105"/>
        </w:rPr>
        <w:t xml:space="preserve"> </w:t>
      </w:r>
      <w:r w:rsidRPr="00984480">
        <w:rPr>
          <w:rFonts w:eastAsia="Times New Roman"/>
          <w:bCs/>
          <w:color w:val="282828"/>
          <w:w w:val="105"/>
        </w:rPr>
        <w:t>2</w:t>
      </w:r>
      <w:r>
        <w:rPr>
          <w:rFonts w:eastAsia="Times New Roman"/>
          <w:bCs/>
          <w:color w:val="282828"/>
          <w:w w:val="105"/>
        </w:rPr>
        <w:t>3</w:t>
      </w:r>
      <w:r w:rsidRPr="00984480">
        <w:rPr>
          <w:rFonts w:eastAsia="Times New Roman"/>
          <w:bCs/>
          <w:color w:val="282828"/>
          <w:w w:val="105"/>
        </w:rPr>
        <w:t>-</w:t>
      </w:r>
      <w:r w:rsidRPr="00984480">
        <w:rPr>
          <w:rFonts w:eastAsia="Times New Roman"/>
          <w:bCs/>
          <w:color w:val="282828"/>
          <w:spacing w:val="-4"/>
          <w:w w:val="105"/>
        </w:rPr>
        <w:t>0460</w:t>
      </w:r>
    </w:p>
    <w:p w14:paraId="7A69C2EE" w14:textId="77777777" w:rsidR="002C6834" w:rsidRPr="00984480" w:rsidRDefault="002C6834" w:rsidP="002C6834">
      <w:pPr>
        <w:widowControl w:val="0"/>
        <w:autoSpaceDE w:val="0"/>
        <w:autoSpaceDN w:val="0"/>
        <w:spacing w:after="0" w:line="240" w:lineRule="auto"/>
        <w:ind w:left="569" w:hanging="569"/>
        <w:rPr>
          <w:rFonts w:eastAsia="Times New Roman"/>
          <w:bCs/>
          <w:color w:val="282828"/>
          <w:w w:val="105"/>
        </w:rPr>
      </w:pPr>
      <w:r w:rsidRPr="00984480">
        <w:rPr>
          <w:rFonts w:eastAsia="Times New Roman"/>
          <w:bCs/>
          <w:color w:val="282828"/>
          <w:w w:val="105"/>
        </w:rPr>
        <w:t xml:space="preserve">AND RELIABILITY PLAN </w:t>
      </w:r>
      <w:r w:rsidRPr="00984480">
        <w:rPr>
          <w:rFonts w:eastAsia="Times New Roman"/>
          <w:bCs/>
          <w:color w:val="282828"/>
          <w:w w:val="105"/>
        </w:rPr>
        <w:tab/>
      </w:r>
      <w:r w:rsidRPr="00984480">
        <w:rPr>
          <w:rFonts w:eastAsia="Times New Roman"/>
          <w:bCs/>
          <w:color w:val="282828"/>
          <w:w w:val="105"/>
        </w:rPr>
        <w:tab/>
      </w:r>
      <w:r w:rsidRPr="00984480">
        <w:rPr>
          <w:rFonts w:eastAsia="Times New Roman"/>
          <w:bCs/>
          <w:color w:val="282828"/>
          <w:w w:val="105"/>
        </w:rPr>
        <w:tab/>
        <w:t>)</w:t>
      </w:r>
    </w:p>
    <w:p w14:paraId="46682C61" w14:textId="77777777" w:rsidR="002C6834" w:rsidRPr="00984480" w:rsidRDefault="002C6834" w:rsidP="002C6834">
      <w:pPr>
        <w:widowControl w:val="0"/>
        <w:autoSpaceDE w:val="0"/>
        <w:autoSpaceDN w:val="0"/>
        <w:spacing w:after="0" w:line="240" w:lineRule="auto"/>
        <w:ind w:left="569" w:hanging="569"/>
        <w:rPr>
          <w:rFonts w:eastAsia="Times New Roman"/>
          <w:bCs/>
          <w:color w:val="282828"/>
          <w:w w:val="105"/>
        </w:rPr>
      </w:pPr>
      <w:r w:rsidRPr="00984480">
        <w:rPr>
          <w:rFonts w:eastAsia="Times New Roman"/>
          <w:bCs/>
          <w:color w:val="282828"/>
          <w:w w:val="105"/>
        </w:rPr>
        <w:t>(FILED MARCH 30, 2023)</w:t>
      </w:r>
      <w:r w:rsidRPr="00984480">
        <w:rPr>
          <w:rFonts w:eastAsia="Times New Roman"/>
          <w:bCs/>
          <w:color w:val="282828"/>
          <w:w w:val="105"/>
        </w:rPr>
        <w:tab/>
      </w:r>
      <w:r w:rsidRPr="00984480">
        <w:rPr>
          <w:rFonts w:eastAsia="Times New Roman"/>
          <w:bCs/>
          <w:color w:val="282828"/>
          <w:w w:val="105"/>
        </w:rPr>
        <w:tab/>
      </w:r>
      <w:r w:rsidRPr="00984480">
        <w:rPr>
          <w:rFonts w:eastAsia="Times New Roman"/>
          <w:bCs/>
          <w:color w:val="282828"/>
          <w:w w:val="105"/>
        </w:rPr>
        <w:tab/>
      </w:r>
      <w:r w:rsidRPr="00984480">
        <w:rPr>
          <w:rFonts w:eastAsia="Times New Roman"/>
          <w:bCs/>
          <w:color w:val="282828"/>
          <w:w w:val="105"/>
        </w:rPr>
        <w:tab/>
        <w:t>)</w:t>
      </w:r>
    </w:p>
    <w:p w14:paraId="0DA9EAE7" w14:textId="77777777" w:rsidR="002C6834" w:rsidRDefault="002C6834" w:rsidP="002C6834">
      <w:pPr>
        <w:jc w:val="center"/>
        <w:rPr>
          <w:b/>
          <w:bCs/>
        </w:rPr>
      </w:pPr>
    </w:p>
    <w:p w14:paraId="2D28D294" w14:textId="39C157E4" w:rsidR="002C6834" w:rsidRPr="007B1701" w:rsidRDefault="002C6834" w:rsidP="002C6834">
      <w:pPr>
        <w:jc w:val="center"/>
        <w:rPr>
          <w:b/>
          <w:bCs/>
        </w:rPr>
      </w:pPr>
      <w:r w:rsidRPr="007B1701">
        <w:rPr>
          <w:b/>
          <w:bCs/>
        </w:rPr>
        <w:t>ORDER NO.</w:t>
      </w:r>
      <w:r>
        <w:rPr>
          <w:b/>
          <w:bCs/>
        </w:rPr>
        <w:t xml:space="preserve"> </w:t>
      </w:r>
      <w:r w:rsidRPr="007B1701">
        <w:rPr>
          <w:b/>
          <w:bCs/>
        </w:rPr>
        <w:t xml:space="preserve"> </w:t>
      </w:r>
      <w:r w:rsidR="000913A9">
        <w:rPr>
          <w:b/>
          <w:bCs/>
          <w:u w:val="single"/>
        </w:rPr>
        <w:t>10</w:t>
      </w:r>
      <w:r w:rsidR="000913A9">
        <w:rPr>
          <w:b/>
          <w:bCs/>
          <w:u w:val="single"/>
        </w:rPr>
        <w:t>290</w:t>
      </w:r>
    </w:p>
    <w:p w14:paraId="12235115" w14:textId="36D74689" w:rsidR="002C6834" w:rsidRDefault="002C6834" w:rsidP="002C6834">
      <w:pPr>
        <w:pStyle w:val="TDWDblSp5Indent"/>
      </w:pPr>
      <w:r w:rsidRPr="007B1701">
        <w:rPr>
          <w:b/>
          <w:bCs/>
        </w:rPr>
        <w:t>AND NOW</w:t>
      </w:r>
      <w:r>
        <w:t>, this 13</w:t>
      </w:r>
      <w:r w:rsidRPr="002C6834">
        <w:rPr>
          <w:vertAlign w:val="superscript"/>
        </w:rPr>
        <w:t>th</w:t>
      </w:r>
      <w:r>
        <w:t xml:space="preserve"> day of September 2023, the Delaware Public Service Commission ("Commission") determines and orders the following:</w:t>
      </w:r>
    </w:p>
    <w:p w14:paraId="6FEA59E2" w14:textId="77777777" w:rsidR="002C6834" w:rsidRDefault="002C6834" w:rsidP="002C6834">
      <w:pPr>
        <w:pStyle w:val="TDWDblSp5Indent"/>
      </w:pPr>
      <w:r w:rsidRPr="007B1701">
        <w:rPr>
          <w:b/>
          <w:bCs/>
        </w:rPr>
        <w:t>WHEREAS</w:t>
      </w:r>
      <w:r>
        <w:t xml:space="preserve">, the Commission’s </w:t>
      </w:r>
      <w:r w:rsidRPr="00A7371B">
        <w:t>Electric Service Reliability and Quality Standards</w:t>
      </w:r>
      <w:r>
        <w:t xml:space="preserve">, </w:t>
      </w:r>
      <w:r w:rsidRPr="00A7371B">
        <w:t xml:space="preserve">26 </w:t>
      </w:r>
      <w:r w:rsidRPr="00A7371B">
        <w:rPr>
          <w:i/>
          <w:iCs/>
        </w:rPr>
        <w:t>Del. Admin. C.</w:t>
      </w:r>
      <w:r w:rsidRPr="00A7371B">
        <w:t xml:space="preserve"> § 3007</w:t>
      </w:r>
      <w:r>
        <w:t xml:space="preserve"> (the “Regulations”), were</w:t>
      </w:r>
      <w:r w:rsidRPr="00A7371B">
        <w:t xml:space="preserve"> published and became final pursuant to Order No. 9541 and the A</w:t>
      </w:r>
      <w:r>
        <w:t xml:space="preserve">dministrative </w:t>
      </w:r>
      <w:r w:rsidRPr="00A7371B">
        <w:t>P</w:t>
      </w:r>
      <w:r>
        <w:t xml:space="preserve">rocedures </w:t>
      </w:r>
      <w:r w:rsidRPr="00A7371B">
        <w:t>A</w:t>
      </w:r>
      <w:r>
        <w:t>ct (“APA”)</w:t>
      </w:r>
      <w:r w:rsidRPr="00A7371B">
        <w:t xml:space="preserve"> </w:t>
      </w:r>
      <w:bookmarkStart w:id="0" w:name="_Hlk59021697"/>
      <w:r w:rsidRPr="00A7371B">
        <w:t>on April 11, 2020</w:t>
      </w:r>
      <w:r>
        <w:t>; and</w:t>
      </w:r>
      <w:bookmarkEnd w:id="0"/>
    </w:p>
    <w:p w14:paraId="0C872958" w14:textId="77777777" w:rsidR="002C6834" w:rsidRDefault="002C6834" w:rsidP="002C6834">
      <w:pPr>
        <w:pStyle w:val="TDWDblSp5Indent"/>
      </w:pPr>
      <w:r w:rsidRPr="007B1701">
        <w:rPr>
          <w:b/>
          <w:bCs/>
        </w:rPr>
        <w:t>WHEREAS</w:t>
      </w:r>
      <w:r>
        <w:t>, pursuant to Section 6.2.1</w:t>
      </w:r>
      <w:r>
        <w:rPr>
          <w:rStyle w:val="FootnoteReference"/>
        </w:rPr>
        <w:footnoteReference w:id="1"/>
      </w:r>
      <w:r>
        <w:t xml:space="preserve">, </w:t>
      </w:r>
      <w:r w:rsidRPr="00CE3C7E">
        <w:t xml:space="preserve">Delmarva Power &amp; Light Company </w:t>
      </w:r>
      <w:r>
        <w:t>(“Delmarva”) is required to submit an annual proposed rolling 3-year Infrastructure, Safety, and Reliability Plan (“Proposed ISR Plan”) identifying proposed capital spending necessary to maintain the reliability and quality of its distribution services; and</w:t>
      </w:r>
    </w:p>
    <w:p w14:paraId="3849BA5C" w14:textId="77777777" w:rsidR="002C6834" w:rsidRDefault="002C6834" w:rsidP="002C6834">
      <w:pPr>
        <w:pStyle w:val="TDWDblSp5Indent"/>
      </w:pPr>
      <w:r w:rsidRPr="007B1701">
        <w:rPr>
          <w:b/>
          <w:bCs/>
        </w:rPr>
        <w:t>WHEREAS</w:t>
      </w:r>
      <w:r>
        <w:t xml:space="preserve">, Sections </w:t>
      </w:r>
      <w:r w:rsidRPr="00D55BEF">
        <w:t>6.2.1.1 through 6.2.1.4</w:t>
      </w:r>
      <w:r>
        <w:t xml:space="preserve"> of the Regulations mandate that Delmarva’s P</w:t>
      </w:r>
      <w:r w:rsidRPr="00D55BEF">
        <w:t xml:space="preserve">roposed ISR Plan </w:t>
      </w:r>
      <w:r>
        <w:t xml:space="preserve">be </w:t>
      </w:r>
      <w:r w:rsidRPr="00D55BEF">
        <w:t>structured under the following major spending categories: Mandatory; Non-Mandatory; Vegetation Management; and Inspection and Maintenance</w:t>
      </w:r>
      <w:r>
        <w:t>; and</w:t>
      </w:r>
    </w:p>
    <w:p w14:paraId="7F7F2765" w14:textId="77777777" w:rsidR="002C6834" w:rsidRDefault="002C6834" w:rsidP="002C6834">
      <w:pPr>
        <w:pStyle w:val="TDWDblSp5Indent"/>
      </w:pPr>
      <w:r w:rsidRPr="007B1701">
        <w:rPr>
          <w:b/>
          <w:bCs/>
        </w:rPr>
        <w:t>WHEREAS</w:t>
      </w:r>
      <w:r>
        <w:t>, Section 6.2.4 states that, in order to support each of its proposed annual budgets, Delmarva’s Proposed ISR Plan shall describe: “how the EDC developed the spending plan and levels; reference of applicable proposed projects to the LRDP,</w:t>
      </w:r>
      <w:r>
        <w:rPr>
          <w:rStyle w:val="FootnoteReference"/>
        </w:rPr>
        <w:footnoteReference w:id="2"/>
      </w:r>
      <w:r>
        <w:t xml:space="preserve"> the justification, scope, </w:t>
      </w:r>
      <w:r>
        <w:lastRenderedPageBreak/>
        <w:t>and estimated cost, for each planned project of $1,000,000 or more; planned I&amp;M activities and expected improvements; other planned reliability or maintenance programs; and planned vegetation management targets and activities[;]”</w:t>
      </w:r>
      <w:r>
        <w:rPr>
          <w:rStyle w:val="FootnoteReference"/>
        </w:rPr>
        <w:footnoteReference w:id="3"/>
      </w:r>
      <w:r>
        <w:t xml:space="preserve"> and </w:t>
      </w:r>
    </w:p>
    <w:p w14:paraId="4C1754F0" w14:textId="77777777" w:rsidR="002C6834" w:rsidRDefault="002C6834" w:rsidP="002C6834">
      <w:pPr>
        <w:pStyle w:val="TDWDblSp5Indent"/>
      </w:pPr>
      <w:r w:rsidRPr="00521DB8">
        <w:rPr>
          <w:b/>
        </w:rPr>
        <w:t>WHEREAS</w:t>
      </w:r>
      <w:r>
        <w:t xml:space="preserve">, </w:t>
      </w:r>
      <w:r w:rsidRPr="00401C90">
        <w:t xml:space="preserve">Section </w:t>
      </w:r>
      <w:r>
        <w:t xml:space="preserve">6.2.5 provides that the Proposed ISR Plan shall include </w:t>
      </w:r>
      <w:r w:rsidRPr="00401C90">
        <w:t xml:space="preserve">Delmarva’s </w:t>
      </w:r>
      <w:r>
        <w:t xml:space="preserve">estimated cost of plant in service and cost of removal for each year of the three-year term; and </w:t>
      </w:r>
    </w:p>
    <w:p w14:paraId="36224FC8" w14:textId="77777777" w:rsidR="002C6834" w:rsidRDefault="002C6834" w:rsidP="002C6834">
      <w:pPr>
        <w:pStyle w:val="TDWDblSp5Indent"/>
      </w:pPr>
      <w:r w:rsidRPr="00521DB8">
        <w:rPr>
          <w:b/>
        </w:rPr>
        <w:t>WHEREAS</w:t>
      </w:r>
      <w:r>
        <w:t xml:space="preserve">, Section 6.2.6 states that “[f]or major projects or groups of related projects in the System Capacity/Load or Asset Condition categories that exceed $1,000,000 over the term of the ISR and were not included in the LRDP, the [Proposed] ISR [Plan] will include the information required in subsections 6.1.2.3 and 6.1.2.4[;]” and </w:t>
      </w:r>
    </w:p>
    <w:p w14:paraId="5D5B8844" w14:textId="77777777" w:rsidR="002C6834" w:rsidRDefault="002C6834" w:rsidP="002C6834">
      <w:pPr>
        <w:pStyle w:val="TDWDblSp5Indent"/>
      </w:pPr>
      <w:r w:rsidRPr="00521DB8">
        <w:rPr>
          <w:b/>
        </w:rPr>
        <w:t>WHEREAS</w:t>
      </w:r>
      <w:r>
        <w:t>, the Regulations set forth the timing for (a) Delmarva’s required submission of its Proposed ISR Plan to Commission Staff (“Staff”) and the Division of the Public Advocate (“DPA”);</w:t>
      </w:r>
      <w:r>
        <w:rPr>
          <w:rStyle w:val="FootnoteReference"/>
        </w:rPr>
        <w:footnoteReference w:id="4"/>
      </w:r>
      <w:r>
        <w:t xml:space="preserve"> (b) discussion conferences among Delmarva, Staff, and the DPA;</w:t>
      </w:r>
      <w:r>
        <w:rPr>
          <w:rStyle w:val="FootnoteReference"/>
        </w:rPr>
        <w:footnoteReference w:id="5"/>
      </w:r>
      <w:r>
        <w:t xml:space="preserve"> (c) Staff’s and the DPA’s respective opportunities to file written comments;</w:t>
      </w:r>
      <w:r>
        <w:rPr>
          <w:rStyle w:val="FootnoteReference"/>
        </w:rPr>
        <w:footnoteReference w:id="6"/>
      </w:r>
      <w:r>
        <w:t xml:space="preserve"> (d) Delmarva’s opportunity to file reply comments;</w:t>
      </w:r>
      <w:r>
        <w:rPr>
          <w:rStyle w:val="FootnoteReference"/>
        </w:rPr>
        <w:footnoteReference w:id="7"/>
      </w:r>
      <w:r>
        <w:t xml:space="preserve"> and (e) Delmarva’s required submission of </w:t>
      </w:r>
      <w:r w:rsidRPr="00CE6975">
        <w:t xml:space="preserve">its </w:t>
      </w:r>
      <w:r>
        <w:t>P</w:t>
      </w:r>
      <w:r w:rsidRPr="00CE6975">
        <w:t>roposed ISR Plan to</w:t>
      </w:r>
      <w:r>
        <w:t xml:space="preserve"> the Commission;</w:t>
      </w:r>
      <w:r>
        <w:rPr>
          <w:rStyle w:val="FootnoteReference"/>
        </w:rPr>
        <w:footnoteReference w:id="8"/>
      </w:r>
      <w:r>
        <w:t xml:space="preserve"> and </w:t>
      </w:r>
    </w:p>
    <w:p w14:paraId="1B878607" w14:textId="2E854753" w:rsidR="002C6834" w:rsidRDefault="002C6834" w:rsidP="002C6834">
      <w:pPr>
        <w:pStyle w:val="TDWDblSp5Indent"/>
      </w:pPr>
      <w:r w:rsidRPr="00521DB8">
        <w:rPr>
          <w:b/>
        </w:rPr>
        <w:t>WHEREAS</w:t>
      </w:r>
      <w:r>
        <w:t>, on</w:t>
      </w:r>
      <w:r w:rsidRPr="0057325C">
        <w:t xml:space="preserve"> </w:t>
      </w:r>
      <w:r>
        <w:t>March 30, 2023</w:t>
      </w:r>
      <w:r w:rsidRPr="0057325C">
        <w:t xml:space="preserve">, Delmarva submitted its Proposed </w:t>
      </w:r>
      <w:r>
        <w:t>ISR Plan to Staff and the DPA; and</w:t>
      </w:r>
    </w:p>
    <w:p w14:paraId="392D6E8B" w14:textId="185C708E" w:rsidR="002C6834" w:rsidRDefault="002C6834" w:rsidP="002C6834">
      <w:pPr>
        <w:pStyle w:val="TDWDblSp5Indent"/>
      </w:pPr>
      <w:r w:rsidRPr="007B1701">
        <w:rPr>
          <w:b/>
          <w:bCs/>
        </w:rPr>
        <w:t>WHEREAS</w:t>
      </w:r>
      <w:r>
        <w:t xml:space="preserve">, during April through July 2023, Delmarva, Staff, and the DPA provided and responded to written data requests and participated in teleconferences concerning the Proposed ISR Plan; and </w:t>
      </w:r>
    </w:p>
    <w:p w14:paraId="1EF6A696" w14:textId="60C12C79" w:rsidR="002C6834" w:rsidRDefault="002C6834" w:rsidP="002C6834">
      <w:pPr>
        <w:pStyle w:val="TDWDblSp5Indent"/>
      </w:pPr>
      <w:r w:rsidRPr="00521DB8">
        <w:rPr>
          <w:b/>
        </w:rPr>
        <w:lastRenderedPageBreak/>
        <w:t>WHEREAS</w:t>
      </w:r>
      <w:r>
        <w:t>, on July 28, 2023</w:t>
      </w:r>
      <w:r w:rsidRPr="00A625AD">
        <w:t xml:space="preserve">, Delmarva filed its </w:t>
      </w:r>
      <w:r>
        <w:t xml:space="preserve">Final </w:t>
      </w:r>
      <w:r w:rsidRPr="00A625AD">
        <w:t>ISR Plan</w:t>
      </w:r>
      <w:r>
        <w:t xml:space="preserve"> (“Final ISR Plan”) with the Commission; and</w:t>
      </w:r>
    </w:p>
    <w:p w14:paraId="0B83ECA5" w14:textId="30270EFF" w:rsidR="00A261A2" w:rsidRDefault="002C6834" w:rsidP="00A261A2">
      <w:pPr>
        <w:pStyle w:val="TDWDblSp5Indent"/>
        <w:rPr>
          <w:highlight w:val="yellow"/>
        </w:rPr>
      </w:pPr>
      <w:r w:rsidRPr="0003587F">
        <w:rPr>
          <w:b/>
          <w:bCs/>
        </w:rPr>
        <w:t>WHEREAS</w:t>
      </w:r>
      <w:r w:rsidRPr="0003587F">
        <w:t>, on August 10, 2023</w:t>
      </w:r>
      <w:r w:rsidR="00E701C9">
        <w:t>,</w:t>
      </w:r>
      <w:r w:rsidRPr="0003587F">
        <w:t xml:space="preserve"> Staff and the DPA submitted Comments on Delmarva’s Final ISR Plan</w:t>
      </w:r>
      <w:r w:rsidR="000C770C" w:rsidRPr="0003587F">
        <w:t xml:space="preserve"> (the “Joint Comments”)</w:t>
      </w:r>
      <w:r w:rsidRPr="0003587F">
        <w:t>.</w:t>
      </w:r>
      <w:r w:rsidR="000C770C" w:rsidRPr="0003587F">
        <w:t xml:space="preserve"> The Joint Comments noted that in last </w:t>
      </w:r>
      <w:r w:rsidR="00A261A2" w:rsidRPr="0003587F">
        <w:t>year’s</w:t>
      </w:r>
      <w:r w:rsidR="000C770C" w:rsidRPr="0003587F">
        <w:t xml:space="preserve"> ISR filing, PSC Docket No. 22-0320, Delmarva ignored the purpose of the distribution planning regulations and </w:t>
      </w:r>
      <w:r w:rsidR="00A261A2" w:rsidRPr="0003587F">
        <w:t xml:space="preserve">has </w:t>
      </w:r>
      <w:r w:rsidR="000C770C" w:rsidRPr="0003587F">
        <w:t xml:space="preserve">continued to spend more on electric distribution system every year, without any </w:t>
      </w:r>
      <w:r w:rsidR="00A261A2" w:rsidRPr="0003587F">
        <w:t>quantifiable</w:t>
      </w:r>
      <w:r w:rsidR="000C770C" w:rsidRPr="0003587F">
        <w:t xml:space="preserve"> or qualitative justification.</w:t>
      </w:r>
      <w:r w:rsidR="000C770C" w:rsidRPr="0003587F">
        <w:rPr>
          <w:rStyle w:val="FootnoteReference"/>
        </w:rPr>
        <w:footnoteReference w:id="9"/>
      </w:r>
      <w:r w:rsidR="000C770C" w:rsidRPr="0003587F">
        <w:t xml:space="preserve"> </w:t>
      </w:r>
      <w:r w:rsidR="00A261A2" w:rsidRPr="0003587F">
        <w:t xml:space="preserve"> The Joint Comments continued to comment on the Final ISR Plan, </w:t>
      </w:r>
      <w:r w:rsidRPr="0003587F">
        <w:t xml:space="preserve"> in which their consultant expressed concern regarding</w:t>
      </w:r>
      <w:r w:rsidR="00A261A2" w:rsidRPr="0003587F">
        <w:t xml:space="preserve"> Delmarva’s continued spending on internally approved capital spending targets and failure to produce and implement an actual capital construction plan as contemplated in the ISR Plan process; that Delmarva spends to a budget, and not to a plan; that Delmarva fails to adequately justify individual projects; that Delmarva is unwilling to temper spending, but has achieved excellent reliability results at investment levels substantially lower than now are being proposed; that Delmarva is on a trajectory to nearly triple spending in six years from 2019 levels with no justification; that Delmarva is adding significant technology without preparing or presenting a Grid Modernization Plan; that the ISR plan fails to take into considerat</w:t>
      </w:r>
      <w:r w:rsidR="00E66DE1">
        <w:t>ion</w:t>
      </w:r>
      <w:r w:rsidR="00A261A2" w:rsidRPr="0003587F">
        <w:t xml:space="preserve"> rate impact; that the ISR plan fails to take into consideration best practices to mitigate retail rates; that there remains little collaboration between the Company and Staff and the DPA, and that Staff and the DPA therefore believe amending the Regulations is necessary so that Delmarva is held to additional mandatory requirements to increase insight to Company practices and the Commission may be sure that Delmarva is optimizing capital investments to maintain safe and reliable system operations at an affordable cost for the ratepayer; and </w:t>
      </w:r>
    </w:p>
    <w:p w14:paraId="05A4CF12" w14:textId="7E32FCDC" w:rsidR="0035503A" w:rsidRPr="0035503A" w:rsidRDefault="002C6834" w:rsidP="00D9644E">
      <w:pPr>
        <w:pStyle w:val="TDWDblSp5Indent"/>
      </w:pPr>
      <w:r w:rsidRPr="00F54D48">
        <w:rPr>
          <w:b/>
          <w:bCs/>
        </w:rPr>
        <w:lastRenderedPageBreak/>
        <w:t>WHEREAS</w:t>
      </w:r>
      <w:r w:rsidRPr="00F54D48">
        <w:t xml:space="preserve">, on August </w:t>
      </w:r>
      <w:r>
        <w:t>25</w:t>
      </w:r>
      <w:r w:rsidRPr="00F54D48">
        <w:t>, 202</w:t>
      </w:r>
      <w:r>
        <w:t>3</w:t>
      </w:r>
      <w:r w:rsidR="00E701C9">
        <w:t>,</w:t>
      </w:r>
      <w:r w:rsidRPr="00F54D48">
        <w:t xml:space="preserve"> Delmarva submitted </w:t>
      </w:r>
      <w:r>
        <w:t xml:space="preserve">its </w:t>
      </w:r>
      <w:r w:rsidRPr="00F54D48">
        <w:t xml:space="preserve">Reply Comments in response to Staff and DPA’s Comments, noting that the Final ISR Plan complied with the </w:t>
      </w:r>
      <w:r w:rsidR="008B0AA7">
        <w:t xml:space="preserve">existing regulations and </w:t>
      </w:r>
      <w:r w:rsidR="00E66DE1">
        <w:t xml:space="preserve">requesting </w:t>
      </w:r>
      <w:r w:rsidR="008B0AA7">
        <w:t>that the Commission acknowledge the 2023 ISR Plan. Delmarva proposed that Staff, the DPA, and Delmarva (the “Parties”), discuss different paths than reopening the Regulations, including alternative ratemaking</w:t>
      </w:r>
      <w:r w:rsidR="00E66DE1">
        <w:t>, to enable</w:t>
      </w:r>
      <w:r w:rsidR="00E66DE1">
        <w:rPr>
          <w:rFonts w:ascii="TimesNewRomanPSMT" w:hAnsi="TimesNewRomanPSMT" w:cs="TimesNewRomanPSMT"/>
        </w:rPr>
        <w:t xml:space="preserve"> more productive collaboration with stakeholders </w:t>
      </w:r>
      <w:r w:rsidR="00E66DE1" w:rsidRPr="00E66DE1">
        <w:rPr>
          <w:rFonts w:ascii="TimesNewRomanPSMT" w:hAnsi="TimesNewRomanPSMT" w:cs="TimesNewRomanPSMT"/>
        </w:rPr>
        <w:t>i</w:t>
      </w:r>
      <w:r w:rsidR="00E66DE1">
        <w:rPr>
          <w:rFonts w:ascii="TimesNewRomanPSMT" w:hAnsi="TimesNewRomanPSMT" w:cs="TimesNewRomanPSMT"/>
        </w:rPr>
        <w:t>n</w:t>
      </w:r>
      <w:r w:rsidR="00E66DE1" w:rsidRPr="00E66DE1">
        <w:rPr>
          <w:rFonts w:ascii="TimesNewRomanPSMT" w:hAnsi="TimesNewRomanPSMT" w:cs="TimesNewRomanPSMT"/>
        </w:rPr>
        <w:t xml:space="preserve"> </w:t>
      </w:r>
      <w:r w:rsidR="00E66DE1" w:rsidRPr="00E66DE1">
        <w:rPr>
          <w:rFonts w:ascii="TimesNewRomanPS-BoldMT" w:hAnsi="TimesNewRomanPS-BoldMT" w:cs="TimesNewRomanPS-BoldMT"/>
        </w:rPr>
        <w:t>advance</w:t>
      </w:r>
      <w:r w:rsidR="00E66DE1">
        <w:rPr>
          <w:rFonts w:ascii="TimesNewRomanPS-BoldMT" w:hAnsi="TimesNewRomanPS-BoldMT" w:cs="TimesNewRomanPS-BoldMT"/>
          <w:b/>
          <w:bCs/>
        </w:rPr>
        <w:t xml:space="preserve"> </w:t>
      </w:r>
      <w:r w:rsidR="00E66DE1">
        <w:rPr>
          <w:rFonts w:ascii="TimesNewRomanPSMT" w:hAnsi="TimesNewRomanPSMT" w:cs="TimesNewRomanPSMT"/>
        </w:rPr>
        <w:t>of future investments being made</w:t>
      </w:r>
      <w:r w:rsidR="008B0AA7">
        <w:t xml:space="preserve">. Delmarva also commented during the 2023 ISR process, </w:t>
      </w:r>
      <w:r w:rsidR="00E66DE1">
        <w:rPr>
          <w:rFonts w:ascii="TimesNewRomanPSMT" w:hAnsi="TimesNewRomanPSMT" w:cs="TimesNewRomanPSMT"/>
        </w:rPr>
        <w:t>even since the regulations were effectuated in early 2020, there have been significant changes to customer behavior and expectations as a result of</w:t>
      </w:r>
      <w:r w:rsidR="00E66DE1">
        <w:t xml:space="preserve"> </w:t>
      </w:r>
      <w:r w:rsidR="00E66DE1">
        <w:rPr>
          <w:rFonts w:ascii="TimesNewRomanPSMT" w:hAnsi="TimesNewRomanPSMT" w:cs="TimesNewRomanPSMT"/>
        </w:rPr>
        <w:t xml:space="preserve">developments in technology and government policy to mitigate climate change, as well as changes in Delaware law to focus on climate solutions; </w:t>
      </w:r>
      <w:r w:rsidR="008B0AA7">
        <w:t>the Company did consider and implement several recommendations by Staff and the DPA</w:t>
      </w:r>
      <w:r w:rsidR="0003587F">
        <w:t>’</w:t>
      </w:r>
      <w:r w:rsidR="00767BFA">
        <w:t>s Consultant</w:t>
      </w:r>
      <w:r w:rsidR="0003587F">
        <w:t>;</w:t>
      </w:r>
      <w:r w:rsidR="00767BFA">
        <w:t xml:space="preserve"> </w:t>
      </w:r>
      <w:r w:rsidR="00C93516">
        <w:t>that the Company carefully plans and manages its spend</w:t>
      </w:r>
      <w:r w:rsidR="00767BFA">
        <w:t xml:space="preserve">; that the budget serves as a framework through which the Company prioritizes its improvements each year; and that Delmarva agrees affected stakeholders must collectively implement a collaborative planning process in order for </w:t>
      </w:r>
      <w:r w:rsidR="0003587F">
        <w:t>Delmarva</w:t>
      </w:r>
      <w:r w:rsidR="00767BFA">
        <w:t xml:space="preserve"> to meet Delaware’s mandates and expectations for grid modernization and decarbonization</w:t>
      </w:r>
      <w:r w:rsidR="0035503A">
        <w:t xml:space="preserve">.  Delmarva </w:t>
      </w:r>
      <w:r w:rsidR="0035503A">
        <w:rPr>
          <w:rFonts w:ascii="TimesNewRomanPSMT" w:hAnsi="TimesNewRomanPSMT" w:cs="TimesNewRomanPSMT"/>
        </w:rPr>
        <w:t>also requested that the Commission establish a formal process for the parties to consider alternative ratemaking in lieu of reopening the Regulations</w:t>
      </w:r>
      <w:r w:rsidR="00767BFA">
        <w:t>;</w:t>
      </w:r>
    </w:p>
    <w:p w14:paraId="7F35076F" w14:textId="77777777" w:rsidR="002C6834" w:rsidRPr="00BD6726" w:rsidRDefault="002C6834" w:rsidP="002C6834">
      <w:pPr>
        <w:spacing w:after="0" w:line="240" w:lineRule="auto"/>
        <w:jc w:val="center"/>
        <w:rPr>
          <w:rFonts w:eastAsia="Times New Roman"/>
          <w:b/>
        </w:rPr>
      </w:pPr>
      <w:r w:rsidRPr="00BD6726">
        <w:rPr>
          <w:rFonts w:eastAsia="Times New Roman"/>
          <w:b/>
        </w:rPr>
        <w:t xml:space="preserve">NOW, THEREFORE, IT IS HEREBY ORDERED BY THE AFFIRMATIVE </w:t>
      </w:r>
    </w:p>
    <w:p w14:paraId="306B2FED" w14:textId="77777777" w:rsidR="002C6834" w:rsidRPr="00BD6726" w:rsidRDefault="002C6834" w:rsidP="002C6834">
      <w:pPr>
        <w:spacing w:after="0" w:line="240" w:lineRule="auto"/>
        <w:jc w:val="center"/>
        <w:rPr>
          <w:rFonts w:eastAsia="Times New Roman"/>
          <w:b/>
        </w:rPr>
      </w:pPr>
      <w:r w:rsidRPr="00BD6726">
        <w:rPr>
          <w:rFonts w:eastAsia="Times New Roman"/>
          <w:b/>
        </w:rPr>
        <w:t>VOTE OF NOT FEWER THAN THREE COMMISSIONERS:</w:t>
      </w:r>
    </w:p>
    <w:p w14:paraId="1B1A61A7" w14:textId="77777777" w:rsidR="002C6834" w:rsidRDefault="002C6834" w:rsidP="002C6834">
      <w:pPr>
        <w:pStyle w:val="TDWDblSp5Indent"/>
        <w:spacing w:line="240" w:lineRule="auto"/>
        <w:ind w:firstLine="0"/>
      </w:pPr>
    </w:p>
    <w:p w14:paraId="5E21133E" w14:textId="77777777" w:rsidR="002C6834" w:rsidRDefault="002C6834" w:rsidP="002C6834">
      <w:pPr>
        <w:pStyle w:val="TDWDblSp5Indent"/>
      </w:pPr>
      <w:r>
        <w:t>1.</w:t>
      </w:r>
      <w:r>
        <w:tab/>
        <w:t xml:space="preserve">Pursuant to 26 </w:t>
      </w:r>
      <w:r w:rsidRPr="000A5DA1">
        <w:rPr>
          <w:i/>
          <w:iCs/>
        </w:rPr>
        <w:t>Del. Admin. C</w:t>
      </w:r>
      <w:r>
        <w:t>. § 3007-</w:t>
      </w:r>
      <w:r w:rsidRPr="000A5DA1">
        <w:t>6.3.5</w:t>
      </w:r>
      <w:r>
        <w:t>, t</w:t>
      </w:r>
      <w:r w:rsidRPr="000A5DA1">
        <w:t xml:space="preserve">he Commission </w:t>
      </w:r>
      <w:r>
        <w:t xml:space="preserve">hereby </w:t>
      </w:r>
      <w:r w:rsidRPr="000A5DA1">
        <w:t>acknowledge</w:t>
      </w:r>
      <w:r>
        <w:t>s</w:t>
      </w:r>
      <w:r w:rsidRPr="000A5DA1">
        <w:t xml:space="preserve"> that </w:t>
      </w:r>
      <w:r>
        <w:t>Delmarva’s Final ISR Plan, a</w:t>
      </w:r>
      <w:r w:rsidRPr="000A5DA1">
        <w:t>nd any associated comments</w:t>
      </w:r>
      <w:r>
        <w:t>,</w:t>
      </w:r>
      <w:r w:rsidRPr="000A5DA1">
        <w:t xml:space="preserve"> has been filed and is consistent with the </w:t>
      </w:r>
      <w:r>
        <w:t xml:space="preserve">Regulations; provided however, that the </w:t>
      </w:r>
      <w:r w:rsidRPr="000A5DA1">
        <w:t>Commission</w:t>
      </w:r>
      <w:r>
        <w:t>’s</w:t>
      </w:r>
      <w:r w:rsidRPr="000A5DA1">
        <w:t xml:space="preserve"> acknowledgement shall not constitute Commission pre-approval of any proposed capital spending necessary to maintain the reliability and quality of the </w:t>
      </w:r>
      <w:r>
        <w:t>Delmarva’s</w:t>
      </w:r>
      <w:r w:rsidRPr="000A5DA1">
        <w:t xml:space="preserve"> distribution services.</w:t>
      </w:r>
      <w:r>
        <w:t xml:space="preserve"> </w:t>
      </w:r>
    </w:p>
    <w:p w14:paraId="35EC079E" w14:textId="77777777" w:rsidR="002C6834" w:rsidRDefault="002C6834" w:rsidP="002C6834">
      <w:pPr>
        <w:pStyle w:val="TDWDblSp5Indent"/>
      </w:pPr>
      <w:r>
        <w:lastRenderedPageBreak/>
        <w:t>2.</w:t>
      </w:r>
      <w:r>
        <w:tab/>
        <w:t xml:space="preserve">In accordance with 26 </w:t>
      </w:r>
      <w:r w:rsidRPr="000A5DA1">
        <w:rPr>
          <w:i/>
          <w:iCs/>
        </w:rPr>
        <w:t>Del. Admin. C</w:t>
      </w:r>
      <w:r>
        <w:t>. § 3007-</w:t>
      </w:r>
      <w:r w:rsidRPr="00357895">
        <w:t>6.3.6</w:t>
      </w:r>
      <w:r>
        <w:t>, a</w:t>
      </w:r>
      <w:r w:rsidRPr="00357895">
        <w:t xml:space="preserve">ny party may challenge </w:t>
      </w:r>
      <w:r>
        <w:t xml:space="preserve">Delmarva’s </w:t>
      </w:r>
      <w:r w:rsidRPr="00357895">
        <w:t>attempt to recover the amounts spent</w:t>
      </w:r>
      <w:r>
        <w:t xml:space="preserve"> to </w:t>
      </w:r>
      <w:r w:rsidRPr="00357895">
        <w:t xml:space="preserve">maintain the reliability and quality of </w:t>
      </w:r>
      <w:r>
        <w:t>its</w:t>
      </w:r>
      <w:r w:rsidRPr="00357895">
        <w:t xml:space="preserve"> distribution </w:t>
      </w:r>
      <w:r>
        <w:t xml:space="preserve">system and </w:t>
      </w:r>
      <w:r w:rsidRPr="00357895">
        <w:t>services</w:t>
      </w:r>
      <w:r>
        <w:t xml:space="preserve"> in a future rate case</w:t>
      </w:r>
      <w:r w:rsidRPr="00357895">
        <w:t>.</w:t>
      </w:r>
    </w:p>
    <w:p w14:paraId="322F735D" w14:textId="719EB47A" w:rsidR="002C6834" w:rsidRDefault="002C6834" w:rsidP="002C6834">
      <w:pPr>
        <w:pStyle w:val="TDWDblSp5Indent"/>
      </w:pPr>
      <w:r>
        <w:t>3.</w:t>
      </w:r>
      <w:r>
        <w:tab/>
        <w:t>The Commission reserves the jurisdiction and authority to enter such further Orders in this matter as may be deemed necessary or proper.</w:t>
      </w:r>
    </w:p>
    <w:p w14:paraId="707EAADF" w14:textId="77777777" w:rsidR="00850CBA" w:rsidRPr="002C6834" w:rsidRDefault="00850CBA" w:rsidP="002C6834">
      <w:pPr>
        <w:pStyle w:val="TDWDblSp5Indent"/>
      </w:pPr>
    </w:p>
    <w:p w14:paraId="2551F02D" w14:textId="6C3AD194" w:rsidR="002C6834" w:rsidRPr="002C6834" w:rsidRDefault="002C6834" w:rsidP="002C6834">
      <w:pPr>
        <w:ind w:left="4320"/>
        <w:jc w:val="both"/>
        <w:rPr>
          <w:rFonts w:eastAsia="Times New Roman"/>
          <w:b/>
        </w:rPr>
      </w:pPr>
      <w:r w:rsidRPr="00A317E6">
        <w:rPr>
          <w:rFonts w:eastAsia="Times New Roman"/>
          <w:b/>
        </w:rPr>
        <w:t>BY ORDER OF THE COMMISSION:</w:t>
      </w:r>
    </w:p>
    <w:p w14:paraId="5377B4C8" w14:textId="77777777" w:rsidR="002C6834" w:rsidRPr="002B1516" w:rsidRDefault="002C6834" w:rsidP="002C6834">
      <w:pPr>
        <w:spacing w:after="0" w:line="240" w:lineRule="auto"/>
        <w:ind w:left="3600" w:firstLine="720"/>
        <w:rPr>
          <w:rFonts w:eastAsia="Times New Roman"/>
        </w:rPr>
      </w:pPr>
    </w:p>
    <w:p w14:paraId="325F2C9B" w14:textId="77777777" w:rsidR="002C6834" w:rsidRPr="002B1516" w:rsidRDefault="002C6834" w:rsidP="002C6834">
      <w:pPr>
        <w:spacing w:after="0" w:line="240" w:lineRule="auto"/>
        <w:rPr>
          <w:rFonts w:eastAsia="Times New Roman"/>
          <w:u w:val="single"/>
        </w:rPr>
      </w:pPr>
      <w:r w:rsidRPr="002B1516">
        <w:rPr>
          <w:rFonts w:eastAsia="Times New Roman"/>
        </w:rPr>
        <w:tab/>
      </w:r>
      <w:r w:rsidRPr="002B1516">
        <w:rPr>
          <w:rFonts w:eastAsia="Times New Roman"/>
        </w:rPr>
        <w:tab/>
      </w:r>
      <w:r w:rsidRPr="002B1516">
        <w:rPr>
          <w:rFonts w:eastAsia="Times New Roman"/>
        </w:rPr>
        <w:tab/>
      </w:r>
      <w:r w:rsidRPr="002B1516">
        <w:rPr>
          <w:rFonts w:eastAsia="Times New Roman"/>
        </w:rPr>
        <w:tab/>
      </w:r>
      <w:r w:rsidRPr="002B1516">
        <w:rPr>
          <w:rFonts w:eastAsia="Times New Roman"/>
        </w:rPr>
        <w:tab/>
      </w:r>
      <w:r w:rsidRPr="002B1516">
        <w:rPr>
          <w:rFonts w:eastAsia="Times New Roman"/>
        </w:rPr>
        <w:tab/>
      </w:r>
      <w:r w:rsidRPr="002B1516">
        <w:rPr>
          <w:rFonts w:eastAsia="Times New Roman"/>
          <w:u w:val="single"/>
        </w:rPr>
        <w:tab/>
      </w:r>
      <w:r w:rsidRPr="002B1516">
        <w:rPr>
          <w:rFonts w:eastAsia="Times New Roman"/>
          <w:u w:val="single"/>
        </w:rPr>
        <w:tab/>
      </w:r>
      <w:r w:rsidRPr="002B1516">
        <w:rPr>
          <w:rFonts w:eastAsia="Times New Roman"/>
          <w:u w:val="single"/>
        </w:rPr>
        <w:tab/>
      </w:r>
      <w:r w:rsidRPr="002B1516">
        <w:rPr>
          <w:rFonts w:eastAsia="Times New Roman"/>
          <w:u w:val="single"/>
        </w:rPr>
        <w:tab/>
      </w:r>
      <w:r w:rsidRPr="002B1516">
        <w:rPr>
          <w:rFonts w:eastAsia="Times New Roman"/>
          <w:u w:val="single"/>
        </w:rPr>
        <w:tab/>
      </w:r>
      <w:r w:rsidRPr="002B1516">
        <w:rPr>
          <w:rFonts w:eastAsia="Times New Roman"/>
          <w:u w:val="single"/>
        </w:rPr>
        <w:tab/>
      </w:r>
    </w:p>
    <w:p w14:paraId="083F08E2" w14:textId="77777777" w:rsidR="002C6834" w:rsidRPr="002B1516" w:rsidRDefault="002C6834" w:rsidP="002C6834">
      <w:pPr>
        <w:spacing w:after="0" w:line="240" w:lineRule="auto"/>
        <w:ind w:left="3600" w:firstLine="720"/>
        <w:jc w:val="both"/>
        <w:rPr>
          <w:rFonts w:cstheme="minorBidi"/>
        </w:rPr>
      </w:pPr>
      <w:r w:rsidRPr="002B1516">
        <w:rPr>
          <w:rFonts w:cstheme="minorBidi"/>
        </w:rPr>
        <w:t>Dallas Winslow, Chairman</w:t>
      </w:r>
    </w:p>
    <w:p w14:paraId="75448005" w14:textId="77777777" w:rsidR="002C6834" w:rsidRPr="002B1516" w:rsidRDefault="002C6834" w:rsidP="002C6834">
      <w:pPr>
        <w:spacing w:after="0" w:line="240" w:lineRule="auto"/>
        <w:outlineLvl w:val="0"/>
        <w:rPr>
          <w:rFonts w:eastAsia="Times New Roman"/>
        </w:rPr>
      </w:pPr>
    </w:p>
    <w:p w14:paraId="601E2CED" w14:textId="77777777" w:rsidR="002C6834" w:rsidRDefault="002C6834" w:rsidP="002C6834">
      <w:pPr>
        <w:spacing w:after="0" w:line="240" w:lineRule="auto"/>
        <w:rPr>
          <w:rFonts w:eastAsia="Times New Roman"/>
        </w:rPr>
      </w:pPr>
    </w:p>
    <w:p w14:paraId="00AE7644" w14:textId="77777777" w:rsidR="002C6834" w:rsidRPr="002B1516" w:rsidRDefault="002C6834" w:rsidP="002C6834">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____________________________________</w:t>
      </w:r>
    </w:p>
    <w:p w14:paraId="3FFBACF9" w14:textId="77777777" w:rsidR="002C6834" w:rsidRPr="002B1516" w:rsidRDefault="002C6834" w:rsidP="002C6834">
      <w:pPr>
        <w:spacing w:after="0" w:line="240" w:lineRule="auto"/>
        <w:ind w:left="3600" w:firstLine="720"/>
        <w:jc w:val="both"/>
        <w:rPr>
          <w:rFonts w:eastAsia="Times New Roman"/>
        </w:rPr>
      </w:pPr>
      <w:r w:rsidRPr="002B1516">
        <w:rPr>
          <w:rFonts w:eastAsia="Times New Roman"/>
        </w:rPr>
        <w:t>Joann Conaway, Commissioner</w:t>
      </w:r>
    </w:p>
    <w:p w14:paraId="3527B4FC" w14:textId="77777777" w:rsidR="002C6834" w:rsidRPr="002B1516" w:rsidRDefault="002C6834" w:rsidP="002C6834">
      <w:pPr>
        <w:spacing w:after="0" w:line="240" w:lineRule="auto"/>
        <w:rPr>
          <w:rFonts w:eastAsia="Times New Roman"/>
        </w:rPr>
      </w:pPr>
    </w:p>
    <w:p w14:paraId="4F56F566" w14:textId="77777777" w:rsidR="002C6834" w:rsidRPr="002B1516" w:rsidRDefault="002C6834" w:rsidP="002C6834">
      <w:pPr>
        <w:spacing w:after="0" w:line="240" w:lineRule="auto"/>
        <w:rPr>
          <w:rFonts w:eastAsia="Times New Roman"/>
        </w:rPr>
      </w:pPr>
    </w:p>
    <w:p w14:paraId="56111954" w14:textId="03F49B80" w:rsidR="002C6834" w:rsidRPr="00B53828" w:rsidRDefault="002C6834" w:rsidP="002C6834">
      <w:pPr>
        <w:spacing w:after="0" w:line="240" w:lineRule="auto"/>
        <w:jc w:val="both"/>
        <w:rPr>
          <w:rFonts w:eastAsia="Times New Roman"/>
        </w:rPr>
      </w:pPr>
      <w:r w:rsidRPr="00B53828">
        <w:rPr>
          <w:rFonts w:eastAsia="Times New Roman"/>
        </w:rPr>
        <w:tab/>
      </w:r>
      <w:r w:rsidRPr="00B53828">
        <w:rPr>
          <w:rFonts w:eastAsia="Times New Roman"/>
        </w:rPr>
        <w:tab/>
      </w:r>
      <w:r w:rsidRPr="00B53828">
        <w:rPr>
          <w:rFonts w:eastAsia="Times New Roman"/>
        </w:rPr>
        <w:tab/>
      </w:r>
      <w:r w:rsidRPr="00B53828">
        <w:rPr>
          <w:rFonts w:eastAsia="Times New Roman"/>
        </w:rPr>
        <w:tab/>
      </w:r>
      <w:r w:rsidRPr="00B53828">
        <w:rPr>
          <w:rFonts w:eastAsia="Times New Roman"/>
        </w:rPr>
        <w:tab/>
        <w:t xml:space="preserve">        </w:t>
      </w:r>
      <w:r>
        <w:rPr>
          <w:rFonts w:eastAsia="Times New Roman"/>
        </w:rPr>
        <w:tab/>
      </w:r>
      <w:r>
        <w:rPr>
          <w:rFonts w:eastAsia="Times New Roman"/>
          <w:i/>
          <w:iCs/>
        </w:rPr>
        <w:t>____________________________________</w:t>
      </w:r>
      <w:r w:rsidRPr="00B53828">
        <w:rPr>
          <w:rFonts w:eastAsia="Times New Roman"/>
        </w:rPr>
        <w:tab/>
      </w:r>
    </w:p>
    <w:p w14:paraId="69058C19" w14:textId="07364FCE" w:rsidR="002C6834" w:rsidRPr="002B1516" w:rsidRDefault="002C6834" w:rsidP="002C6834">
      <w:pPr>
        <w:spacing w:after="0" w:line="240" w:lineRule="auto"/>
        <w:ind w:left="3600" w:firstLine="720"/>
        <w:jc w:val="both"/>
        <w:rPr>
          <w:rFonts w:eastAsia="Times New Roman"/>
        </w:rPr>
      </w:pPr>
      <w:r w:rsidRPr="002B1516">
        <w:rPr>
          <w:rFonts w:eastAsia="Times New Roman"/>
        </w:rPr>
        <w:t xml:space="preserve">Harold </w:t>
      </w:r>
      <w:r w:rsidR="00E16519">
        <w:rPr>
          <w:rFonts w:eastAsia="Times New Roman"/>
        </w:rPr>
        <w:t xml:space="preserve">B. </w:t>
      </w:r>
      <w:r w:rsidRPr="002B1516">
        <w:rPr>
          <w:rFonts w:eastAsia="Times New Roman"/>
        </w:rPr>
        <w:t>Gray, Commissioner</w:t>
      </w:r>
    </w:p>
    <w:p w14:paraId="0A4D20A1" w14:textId="77777777" w:rsidR="002C6834" w:rsidRDefault="002C6834" w:rsidP="002C6834">
      <w:pPr>
        <w:spacing w:after="0" w:line="240" w:lineRule="auto"/>
        <w:rPr>
          <w:rFonts w:eastAsia="Times New Roman"/>
        </w:rPr>
      </w:pPr>
    </w:p>
    <w:p w14:paraId="4BE98233" w14:textId="77777777" w:rsidR="002C6834" w:rsidRDefault="002C6834" w:rsidP="002C6834">
      <w:pPr>
        <w:spacing w:after="0" w:line="240" w:lineRule="auto"/>
        <w:rPr>
          <w:rFonts w:eastAsia="Times New Roman"/>
        </w:rPr>
      </w:pPr>
    </w:p>
    <w:p w14:paraId="5834C3D4" w14:textId="77777777" w:rsidR="002C6834" w:rsidRPr="002B1516" w:rsidRDefault="002C6834" w:rsidP="002C6834">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____________________________________</w:t>
      </w:r>
    </w:p>
    <w:p w14:paraId="7B498C08" w14:textId="5A82FBA1" w:rsidR="002C6834" w:rsidRDefault="002C6834" w:rsidP="002C6834">
      <w:pPr>
        <w:spacing w:after="0" w:line="240" w:lineRule="auto"/>
        <w:ind w:left="3600" w:firstLine="720"/>
        <w:jc w:val="both"/>
        <w:rPr>
          <w:rFonts w:eastAsia="Times New Roman"/>
        </w:rPr>
      </w:pPr>
      <w:r w:rsidRPr="002B1516">
        <w:rPr>
          <w:rFonts w:eastAsia="Times New Roman"/>
        </w:rPr>
        <w:t>Manubhai  Karia, Commissioner</w:t>
      </w:r>
    </w:p>
    <w:p w14:paraId="5A731CA3" w14:textId="77777777" w:rsidR="002C6834" w:rsidRPr="002B1516" w:rsidRDefault="002C6834" w:rsidP="004E7A06">
      <w:pPr>
        <w:spacing w:after="0" w:line="480" w:lineRule="auto"/>
        <w:jc w:val="both"/>
        <w:rPr>
          <w:rFonts w:eastAsia="Times New Roman"/>
          <w:snapToGrid w:val="0"/>
        </w:rPr>
      </w:pPr>
    </w:p>
    <w:p w14:paraId="0D1E7C80" w14:textId="6DFC34B7" w:rsidR="002C6834" w:rsidRPr="002B1516" w:rsidRDefault="002C6834" w:rsidP="002C6834">
      <w:pPr>
        <w:spacing w:after="0" w:line="240" w:lineRule="auto"/>
        <w:ind w:firstLine="1440"/>
        <w:jc w:val="both"/>
        <w:rPr>
          <w:rFonts w:eastAsia="Times New Roman"/>
          <w:snapToGrid w:val="0"/>
        </w:rPr>
      </w:pP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rPr>
        <w:tab/>
      </w:r>
      <w:r>
        <w:rPr>
          <w:rFonts w:eastAsia="Times New Roman"/>
        </w:rPr>
        <w:t>____________________________________</w:t>
      </w: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rPr>
        <w:tab/>
      </w:r>
      <w:r w:rsidRPr="002B1516">
        <w:rPr>
          <w:rFonts w:eastAsia="Times New Roman"/>
          <w:snapToGrid w:val="0"/>
          <w:color w:val="222222"/>
        </w:rPr>
        <w:t>K</w:t>
      </w:r>
      <w:r w:rsidR="00E16519">
        <w:rPr>
          <w:rFonts w:eastAsia="Times New Roman"/>
          <w:snapToGrid w:val="0"/>
          <w:color w:val="222222"/>
        </w:rPr>
        <w:t xml:space="preserve">. </w:t>
      </w:r>
      <w:r w:rsidRPr="002B1516">
        <w:rPr>
          <w:rFonts w:eastAsia="Times New Roman"/>
          <w:snapToGrid w:val="0"/>
          <w:color w:val="222222"/>
        </w:rPr>
        <w:t>F. Drexler, Commissioner</w:t>
      </w:r>
    </w:p>
    <w:p w14:paraId="7DC1E46B" w14:textId="77777777" w:rsidR="002C6834" w:rsidRPr="002B1516" w:rsidRDefault="002C6834" w:rsidP="002C6834">
      <w:pPr>
        <w:spacing w:after="0" w:line="240" w:lineRule="auto"/>
        <w:jc w:val="both"/>
        <w:rPr>
          <w:rFonts w:eastAsia="Times New Roman"/>
          <w:snapToGrid w:val="0"/>
        </w:rPr>
      </w:pPr>
    </w:p>
    <w:p w14:paraId="1264DFA0" w14:textId="77777777" w:rsidR="002C6834" w:rsidRPr="002B1516" w:rsidRDefault="002C6834" w:rsidP="002C6834">
      <w:pPr>
        <w:spacing w:after="0" w:line="240" w:lineRule="auto"/>
        <w:jc w:val="both"/>
        <w:rPr>
          <w:rFonts w:eastAsia="Times New Roman"/>
          <w:snapToGrid w:val="0"/>
        </w:rPr>
      </w:pPr>
    </w:p>
    <w:p w14:paraId="42E3C62E" w14:textId="77777777" w:rsidR="002C6834" w:rsidRPr="002C6834" w:rsidRDefault="002C6834" w:rsidP="002C6834">
      <w:pPr>
        <w:spacing w:after="0" w:line="240" w:lineRule="auto"/>
        <w:jc w:val="both"/>
        <w:rPr>
          <w:rFonts w:eastAsia="Times New Roman"/>
          <w:b/>
          <w:bCs/>
          <w:snapToGrid w:val="0"/>
        </w:rPr>
      </w:pPr>
      <w:r w:rsidRPr="002C6834">
        <w:rPr>
          <w:rFonts w:eastAsia="Times New Roman"/>
          <w:b/>
          <w:bCs/>
          <w:snapToGrid w:val="0"/>
        </w:rPr>
        <w:t>ATTEST:</w:t>
      </w:r>
    </w:p>
    <w:p w14:paraId="1D77BCB3" w14:textId="77777777" w:rsidR="002C6834" w:rsidRPr="002B1516" w:rsidRDefault="002C6834" w:rsidP="002C6834">
      <w:pPr>
        <w:spacing w:after="0" w:line="240" w:lineRule="auto"/>
        <w:jc w:val="both"/>
        <w:rPr>
          <w:rFonts w:eastAsia="Times New Roman"/>
          <w:snapToGrid w:val="0"/>
          <w:u w:val="single"/>
        </w:rPr>
      </w:pPr>
    </w:p>
    <w:p w14:paraId="158ED0A2" w14:textId="77777777" w:rsidR="002C6834" w:rsidRPr="002B1516" w:rsidRDefault="002C6834" w:rsidP="002C6834">
      <w:pPr>
        <w:spacing w:after="0" w:line="240" w:lineRule="auto"/>
        <w:jc w:val="both"/>
        <w:rPr>
          <w:rFonts w:eastAsia="Times New Roman"/>
          <w:snapToGrid w:val="0"/>
          <w:u w:val="single"/>
        </w:rPr>
      </w:pPr>
    </w:p>
    <w:p w14:paraId="22E693C5" w14:textId="77777777" w:rsidR="002C6834" w:rsidRDefault="002C6834" w:rsidP="002C6834">
      <w:pPr>
        <w:spacing w:after="0" w:line="240" w:lineRule="auto"/>
        <w:rPr>
          <w:rFonts w:cstheme="minorBidi"/>
        </w:rPr>
      </w:pPr>
      <w:r>
        <w:rPr>
          <w:rFonts w:cstheme="minorBidi"/>
        </w:rPr>
        <w:t>__________________________________</w:t>
      </w:r>
    </w:p>
    <w:p w14:paraId="0BAF8BA9" w14:textId="15722C8D" w:rsidR="00B936FA" w:rsidRDefault="002C6834" w:rsidP="002C6834">
      <w:r>
        <w:rPr>
          <w:rFonts w:cstheme="minorBidi"/>
        </w:rPr>
        <w:t>Crystal Beenick, Secr</w:t>
      </w:r>
      <w:r w:rsidR="00AE1627">
        <w:rPr>
          <w:rFonts w:cstheme="minorBidi"/>
        </w:rPr>
        <w:t>et</w:t>
      </w:r>
      <w:r>
        <w:rPr>
          <w:rFonts w:cstheme="minorBidi"/>
        </w:rPr>
        <w:t>ary</w:t>
      </w:r>
    </w:p>
    <w:sectPr w:rsidR="00B936FA" w:rsidSect="00A82304">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A3CA" w14:textId="77777777" w:rsidR="002C6834" w:rsidRDefault="002C6834" w:rsidP="002C6834">
      <w:pPr>
        <w:spacing w:after="0" w:line="240" w:lineRule="auto"/>
      </w:pPr>
      <w:r>
        <w:separator/>
      </w:r>
    </w:p>
  </w:endnote>
  <w:endnote w:type="continuationSeparator" w:id="0">
    <w:p w14:paraId="644CD0B9" w14:textId="77777777" w:rsidR="002C6834" w:rsidRDefault="002C6834" w:rsidP="002C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031029"/>
      <w:docPartObj>
        <w:docPartGallery w:val="Page Numbers (Bottom of Page)"/>
        <w:docPartUnique/>
      </w:docPartObj>
    </w:sdtPr>
    <w:sdtEndPr>
      <w:rPr>
        <w:noProof/>
      </w:rPr>
    </w:sdtEndPr>
    <w:sdtContent>
      <w:p w14:paraId="231D06E2" w14:textId="6209F18D" w:rsidR="002C6834" w:rsidRDefault="002C68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D6FA5" w14:textId="77777777" w:rsidR="002C6834" w:rsidRDefault="002C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A3E8" w14:textId="77777777" w:rsidR="002C6834" w:rsidRDefault="002C6834" w:rsidP="002C6834">
      <w:pPr>
        <w:spacing w:after="0" w:line="240" w:lineRule="auto"/>
      </w:pPr>
      <w:r>
        <w:separator/>
      </w:r>
    </w:p>
  </w:footnote>
  <w:footnote w:type="continuationSeparator" w:id="0">
    <w:p w14:paraId="660638B5" w14:textId="77777777" w:rsidR="002C6834" w:rsidRDefault="002C6834" w:rsidP="002C6834">
      <w:pPr>
        <w:spacing w:after="0" w:line="240" w:lineRule="auto"/>
      </w:pPr>
      <w:r>
        <w:continuationSeparator/>
      </w:r>
    </w:p>
  </w:footnote>
  <w:footnote w:id="1">
    <w:p w14:paraId="104B4B0E" w14:textId="77777777" w:rsidR="002C6834" w:rsidRDefault="002C6834" w:rsidP="002C6834">
      <w:pPr>
        <w:pStyle w:val="FootnoteText"/>
      </w:pPr>
      <w:r>
        <w:rPr>
          <w:rStyle w:val="FootnoteReference"/>
        </w:rPr>
        <w:footnoteRef/>
      </w:r>
      <w:r>
        <w:t xml:space="preserve"> Unless stated otherwise, all citations to the Regulations in this Order exclude “3007.” </w:t>
      </w:r>
    </w:p>
  </w:footnote>
  <w:footnote w:id="2">
    <w:p w14:paraId="338B08CB" w14:textId="77777777" w:rsidR="002C6834" w:rsidRDefault="002C6834" w:rsidP="002C6834">
      <w:pPr>
        <w:pStyle w:val="FootnoteText"/>
      </w:pPr>
      <w:r>
        <w:rPr>
          <w:rStyle w:val="FootnoteReference"/>
        </w:rPr>
        <w:footnoteRef/>
      </w:r>
      <w:r>
        <w:t xml:space="preserve"> Long Range Distribution Plan. </w:t>
      </w:r>
      <w:r w:rsidRPr="007D1E39">
        <w:t>Unless otherwise noted, capitalized terms shall have the meanings ascribed to them in the</w:t>
      </w:r>
      <w:r>
        <w:t xml:space="preserve"> Regulations.</w:t>
      </w:r>
    </w:p>
  </w:footnote>
  <w:footnote w:id="3">
    <w:p w14:paraId="77DD20C5" w14:textId="77777777" w:rsidR="002C6834" w:rsidRDefault="002C6834" w:rsidP="002C6834">
      <w:pPr>
        <w:pStyle w:val="FootnoteText"/>
      </w:pPr>
      <w:r>
        <w:rPr>
          <w:rStyle w:val="FootnoteReference"/>
        </w:rPr>
        <w:footnoteRef/>
      </w:r>
      <w:r>
        <w:t xml:space="preserve"> Section 6.2.4.</w:t>
      </w:r>
    </w:p>
  </w:footnote>
  <w:footnote w:id="4">
    <w:p w14:paraId="793F1B47" w14:textId="77777777" w:rsidR="002C6834" w:rsidRDefault="002C6834" w:rsidP="002C6834">
      <w:pPr>
        <w:pStyle w:val="FootnoteText"/>
      </w:pPr>
      <w:r>
        <w:rPr>
          <w:rStyle w:val="FootnoteReference"/>
        </w:rPr>
        <w:footnoteRef/>
      </w:r>
      <w:r>
        <w:t xml:space="preserve"> </w:t>
      </w:r>
      <w:r w:rsidRPr="004E23A8">
        <w:t>Se</w:t>
      </w:r>
      <w:r>
        <w:t xml:space="preserve">ctions </w:t>
      </w:r>
      <w:r w:rsidRPr="004E23A8">
        <w:t>6.</w:t>
      </w:r>
      <w:r>
        <w:t>2</w:t>
      </w:r>
      <w:r w:rsidRPr="004E23A8">
        <w:t>.1 and 6.</w:t>
      </w:r>
      <w:r>
        <w:t>3</w:t>
      </w:r>
      <w:r w:rsidRPr="004E23A8">
        <w:t>.1.</w:t>
      </w:r>
      <w:r>
        <w:t xml:space="preserve"> </w:t>
      </w:r>
    </w:p>
  </w:footnote>
  <w:footnote w:id="5">
    <w:p w14:paraId="05065A6C" w14:textId="77777777" w:rsidR="002C6834" w:rsidRDefault="002C6834" w:rsidP="002C6834">
      <w:pPr>
        <w:pStyle w:val="FootnoteText"/>
      </w:pPr>
      <w:r>
        <w:rPr>
          <w:rStyle w:val="FootnoteReference"/>
        </w:rPr>
        <w:footnoteRef/>
      </w:r>
      <w:r>
        <w:t xml:space="preserve"> </w:t>
      </w:r>
      <w:r w:rsidRPr="00DB3689">
        <w:t>Section 6.3.1.</w:t>
      </w:r>
    </w:p>
  </w:footnote>
  <w:footnote w:id="6">
    <w:p w14:paraId="5FC79CCD" w14:textId="77777777" w:rsidR="002C6834" w:rsidRDefault="002C6834" w:rsidP="002C6834">
      <w:pPr>
        <w:pStyle w:val="FootnoteText"/>
      </w:pPr>
      <w:r>
        <w:rPr>
          <w:rStyle w:val="FootnoteReference"/>
        </w:rPr>
        <w:footnoteRef/>
      </w:r>
      <w:r>
        <w:t xml:space="preserve"> </w:t>
      </w:r>
      <w:r w:rsidRPr="00127DC4">
        <w:t>Section 6.3.3.</w:t>
      </w:r>
    </w:p>
  </w:footnote>
  <w:footnote w:id="7">
    <w:p w14:paraId="07D74DD3" w14:textId="77777777" w:rsidR="002C6834" w:rsidRDefault="002C6834" w:rsidP="002C6834">
      <w:pPr>
        <w:pStyle w:val="FootnoteText"/>
      </w:pPr>
      <w:r>
        <w:rPr>
          <w:rStyle w:val="FootnoteReference"/>
        </w:rPr>
        <w:footnoteRef/>
      </w:r>
      <w:r>
        <w:t xml:space="preserve"> </w:t>
      </w:r>
      <w:r w:rsidRPr="006E36EE">
        <w:t>Section 6.3.4.</w:t>
      </w:r>
      <w:r>
        <w:t xml:space="preserve"> </w:t>
      </w:r>
    </w:p>
  </w:footnote>
  <w:footnote w:id="8">
    <w:p w14:paraId="69D159F6" w14:textId="77777777" w:rsidR="002C6834" w:rsidRDefault="002C6834" w:rsidP="002C6834">
      <w:pPr>
        <w:pStyle w:val="FootnoteText"/>
      </w:pPr>
      <w:r>
        <w:rPr>
          <w:rStyle w:val="FootnoteReference"/>
        </w:rPr>
        <w:footnoteRef/>
      </w:r>
      <w:r>
        <w:t xml:space="preserve"> </w:t>
      </w:r>
      <w:r w:rsidRPr="005F125A">
        <w:t>Section</w:t>
      </w:r>
      <w:r>
        <w:t>s</w:t>
      </w:r>
      <w:r w:rsidRPr="005F125A">
        <w:t xml:space="preserve"> </w:t>
      </w:r>
      <w:r>
        <w:t xml:space="preserve">6.2.1 and </w:t>
      </w:r>
      <w:r w:rsidRPr="005F125A">
        <w:t>6.3.2.</w:t>
      </w:r>
    </w:p>
  </w:footnote>
  <w:footnote w:id="9">
    <w:p w14:paraId="4A8C2EAC" w14:textId="72E14E67" w:rsidR="000C770C" w:rsidRDefault="000C770C">
      <w:pPr>
        <w:pStyle w:val="FootnoteText"/>
      </w:pPr>
      <w:r>
        <w:rPr>
          <w:rStyle w:val="FootnoteReference"/>
        </w:rPr>
        <w:footnoteRef/>
      </w:r>
      <w:r>
        <w:t xml:space="preserve"> See PSC Docket 22-0320, Staff and the DPA Comments, Exhibit “A</w:t>
      </w:r>
      <w:r w:rsidR="00E66DE1">
        <w:t>,”</w:t>
      </w:r>
      <w:r>
        <w:t xml:space="preserve"> Memorandum of Gregory L. Booth, PE at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AAF" w14:textId="5DE13B40" w:rsidR="00A82304" w:rsidRDefault="00A82304">
    <w:pPr>
      <w:pStyle w:val="Header"/>
    </w:pPr>
    <w:r>
      <w:t>PSC Docket No. 23-0460, Order No. 10290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834"/>
    <w:rsid w:val="0003587F"/>
    <w:rsid w:val="000913A9"/>
    <w:rsid w:val="000C770C"/>
    <w:rsid w:val="002C6834"/>
    <w:rsid w:val="0035503A"/>
    <w:rsid w:val="004E7A06"/>
    <w:rsid w:val="00767BFA"/>
    <w:rsid w:val="00804E36"/>
    <w:rsid w:val="00850CBA"/>
    <w:rsid w:val="008B0AA7"/>
    <w:rsid w:val="00A261A2"/>
    <w:rsid w:val="00A82304"/>
    <w:rsid w:val="00A84AC8"/>
    <w:rsid w:val="00AE1627"/>
    <w:rsid w:val="00B936FA"/>
    <w:rsid w:val="00C62673"/>
    <w:rsid w:val="00C93516"/>
    <w:rsid w:val="00D14EA3"/>
    <w:rsid w:val="00D9644E"/>
    <w:rsid w:val="00DE3D80"/>
    <w:rsid w:val="00E16519"/>
    <w:rsid w:val="00E66DE1"/>
    <w:rsid w:val="00E70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3F771"/>
  <w15:chartTrackingRefBased/>
  <w15:docId w15:val="{0534809F-533C-42EC-ACC4-94F2C535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34"/>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WDblSp5Indent">
    <w:name w:val="TDW Dbl. Sp. .5 Indent"/>
    <w:basedOn w:val="Normal"/>
    <w:qFormat/>
    <w:rsid w:val="002C6834"/>
    <w:pPr>
      <w:spacing w:after="0" w:line="480" w:lineRule="auto"/>
      <w:ind w:firstLine="720"/>
      <w:jc w:val="both"/>
    </w:pPr>
  </w:style>
  <w:style w:type="paragraph" w:styleId="FootnoteText">
    <w:name w:val="footnote text"/>
    <w:basedOn w:val="Normal"/>
    <w:link w:val="FootnoteTextChar"/>
    <w:uiPriority w:val="99"/>
    <w:semiHidden/>
    <w:unhideWhenUsed/>
    <w:rsid w:val="002C6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683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2C6834"/>
    <w:rPr>
      <w:vertAlign w:val="superscript"/>
    </w:rPr>
  </w:style>
  <w:style w:type="table" w:styleId="TableGrid">
    <w:name w:val="Table Grid"/>
    <w:basedOn w:val="TableNormal"/>
    <w:uiPriority w:val="59"/>
    <w:rsid w:val="002C683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6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834"/>
    <w:rPr>
      <w:rFonts w:ascii="Times New Roman" w:hAnsi="Times New Roman" w:cs="Times New Roman"/>
      <w:sz w:val="24"/>
      <w:szCs w:val="24"/>
    </w:rPr>
  </w:style>
  <w:style w:type="paragraph" w:styleId="Footer">
    <w:name w:val="footer"/>
    <w:basedOn w:val="Normal"/>
    <w:link w:val="FooterChar"/>
    <w:uiPriority w:val="99"/>
    <w:unhideWhenUsed/>
    <w:rsid w:val="002C6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834"/>
    <w:rPr>
      <w:rFonts w:ascii="Times New Roman" w:hAnsi="Times New Roman" w:cs="Times New Roman"/>
      <w:sz w:val="24"/>
      <w:szCs w:val="24"/>
    </w:rPr>
  </w:style>
  <w:style w:type="paragraph" w:styleId="Revision">
    <w:name w:val="Revision"/>
    <w:hidden/>
    <w:uiPriority w:val="99"/>
    <w:semiHidden/>
    <w:rsid w:val="00E66DE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43C9-3B7E-4818-9353-FF5ED827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Poppe, Sommer (DOJ)</dc:creator>
  <cp:keywords/>
  <dc:description/>
  <cp:lastModifiedBy>Steele, Naomi (DOS)</cp:lastModifiedBy>
  <cp:revision>3</cp:revision>
  <dcterms:created xsi:type="dcterms:W3CDTF">2023-09-07T15:08:00Z</dcterms:created>
  <dcterms:modified xsi:type="dcterms:W3CDTF">2023-09-07T15:15:00Z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8b3d1-e05f-4796-9c23-acaf26d588cb_Enabled">
    <vt:lpwstr>true</vt:lpwstr>
  </property>
  <property fmtid="{D5CDD505-2E9C-101B-9397-08002B2CF9AE}" pid="3" name="MSIP_Label_c968b3d1-e05f-4796-9c23-acaf26d588cb_SetDate">
    <vt:lpwstr>2023-09-06T18:37:28Z</vt:lpwstr>
  </property>
  <property fmtid="{D5CDD505-2E9C-101B-9397-08002B2CF9AE}" pid="4" name="MSIP_Label_c968b3d1-e05f-4796-9c23-acaf26d588cb_Method">
    <vt:lpwstr>Standard</vt:lpwstr>
  </property>
  <property fmtid="{D5CDD505-2E9C-101B-9397-08002B2CF9AE}" pid="5" name="MSIP_Label_c968b3d1-e05f-4796-9c23-acaf26d588cb_Name">
    <vt:lpwstr>Company Confidential Information</vt:lpwstr>
  </property>
  <property fmtid="{D5CDD505-2E9C-101B-9397-08002B2CF9AE}" pid="6" name="MSIP_Label_c968b3d1-e05f-4796-9c23-acaf26d588cb_SiteId">
    <vt:lpwstr>600d01fc-055f-49c6-868f-3ecfcc791773</vt:lpwstr>
  </property>
  <property fmtid="{D5CDD505-2E9C-101B-9397-08002B2CF9AE}" pid="7" name="MSIP_Label_c968b3d1-e05f-4796-9c23-acaf26d588cb_ActionId">
    <vt:lpwstr>d99fa849-c0e1-4e2d-84a3-b232676ba054</vt:lpwstr>
  </property>
  <property fmtid="{D5CDD505-2E9C-101B-9397-08002B2CF9AE}" pid="8" name="MSIP_Label_c968b3d1-e05f-4796-9c23-acaf26d588cb_ContentBits">
    <vt:lpwstr>0</vt:lpwstr>
  </property>
</Properties>
</file>