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A8B3" w14:textId="4E9843B5" w:rsidR="008D678D" w:rsidRDefault="008D678D" w:rsidP="00D42B4D">
      <w:pPr>
        <w:pStyle w:val="Title"/>
        <w:outlineLvl w:val="0"/>
        <w:rPr>
          <w:rFonts w:ascii="Times New Roman" w:hAnsi="Times New Roman" w:cs="Times New Roman"/>
          <w:sz w:val="24"/>
        </w:rPr>
      </w:pPr>
      <w:r w:rsidRPr="00D53D91">
        <w:rPr>
          <w:rFonts w:ascii="Times New Roman" w:hAnsi="Times New Roman" w:cs="Times New Roman"/>
          <w:sz w:val="24"/>
        </w:rPr>
        <w:t>BEFORE THE PUBLIC SERVICE COMMISSION</w:t>
      </w:r>
    </w:p>
    <w:p w14:paraId="426A44AE" w14:textId="77777777" w:rsidR="00EE51FE" w:rsidRPr="00D53D91" w:rsidRDefault="00EE51FE" w:rsidP="00D42B4D">
      <w:pPr>
        <w:pStyle w:val="Title"/>
        <w:outlineLvl w:val="0"/>
        <w:rPr>
          <w:rFonts w:ascii="Times New Roman" w:hAnsi="Times New Roman" w:cs="Times New Roman"/>
          <w:sz w:val="24"/>
        </w:rPr>
      </w:pPr>
    </w:p>
    <w:p w14:paraId="4B9DB1B8" w14:textId="77777777" w:rsidR="008D678D" w:rsidRPr="00D53D91" w:rsidRDefault="008D678D" w:rsidP="00D42B4D">
      <w:pPr>
        <w:tabs>
          <w:tab w:val="left" w:pos="3822"/>
        </w:tabs>
        <w:jc w:val="center"/>
        <w:outlineLvl w:val="0"/>
        <w:rPr>
          <w:rFonts w:ascii="Times New Roman" w:hAnsi="Times New Roman"/>
          <w:b/>
          <w:bCs/>
        </w:rPr>
      </w:pPr>
      <w:r w:rsidRPr="00D53D91">
        <w:rPr>
          <w:rFonts w:ascii="Times New Roman" w:hAnsi="Times New Roman"/>
          <w:b/>
          <w:bCs/>
        </w:rPr>
        <w:t>OF THE STATE OF DELAWARE</w:t>
      </w:r>
    </w:p>
    <w:p w14:paraId="7BB7BFC0" w14:textId="77777777" w:rsidR="008D678D" w:rsidRPr="00D53D91" w:rsidRDefault="008D678D" w:rsidP="008D678D">
      <w:pPr>
        <w:outlineLvl w:val="0"/>
        <w:rPr>
          <w:rFonts w:ascii="Times New Roman" w:hAnsi="Times New Roman"/>
          <w:bCs/>
        </w:rPr>
      </w:pPr>
    </w:p>
    <w:p w14:paraId="534415C5" w14:textId="77777777" w:rsidR="00593C17" w:rsidRPr="00D53D91" w:rsidRDefault="00593C17" w:rsidP="008D678D">
      <w:pPr>
        <w:outlineLvl w:val="0"/>
        <w:rPr>
          <w:rFonts w:ascii="Times New Roman" w:hAnsi="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061"/>
      </w:tblGrid>
      <w:tr w:rsidR="00423173" w:rsidRPr="00D53D91" w14:paraId="3E6B3AEE" w14:textId="77777777" w:rsidTr="00A43C31">
        <w:tc>
          <w:tcPr>
            <w:tcW w:w="4855" w:type="dxa"/>
          </w:tcPr>
          <w:p w14:paraId="4A4BEE53" w14:textId="23642539" w:rsidR="00423173" w:rsidRPr="00D53D91" w:rsidRDefault="00423173" w:rsidP="00423173">
            <w:pPr>
              <w:jc w:val="both"/>
              <w:rPr>
                <w:rFonts w:ascii="Times New Roman" w:hAnsi="Times New Roman"/>
                <w:bCs/>
              </w:rPr>
            </w:pPr>
            <w:r w:rsidRPr="00D53D91">
              <w:rPr>
                <w:rFonts w:ascii="Times New Roman" w:hAnsi="Times New Roman"/>
                <w:bCs/>
              </w:rPr>
              <w:t>IN THE MATTER OF</w:t>
            </w:r>
            <w:r w:rsidR="00363681">
              <w:rPr>
                <w:rFonts w:ascii="Times New Roman" w:hAnsi="Times New Roman"/>
                <w:bCs/>
              </w:rPr>
              <w:t xml:space="preserve"> </w:t>
            </w:r>
            <w:r w:rsidRPr="00D53D91">
              <w:rPr>
                <w:rFonts w:ascii="Times New Roman" w:hAnsi="Times New Roman"/>
                <w:bCs/>
              </w:rPr>
              <w:t xml:space="preserve">THE JOINT PETITION OF VEOLIA WATER DELAWARE, INC. AND THE CITY OF NEWARK PURSUANT TO 26 </w:t>
            </w:r>
            <w:r w:rsidRPr="00EE51FE">
              <w:rPr>
                <w:rFonts w:ascii="Times New Roman" w:hAnsi="Times New Roman"/>
                <w:bCs/>
                <w:i/>
                <w:iCs/>
              </w:rPr>
              <w:t>DEL. C</w:t>
            </w:r>
            <w:r w:rsidRPr="00D53D91">
              <w:rPr>
                <w:rFonts w:ascii="Times New Roman" w:hAnsi="Times New Roman"/>
                <w:bCs/>
              </w:rPr>
              <w:t xml:space="preserve">. SECTION 215 TO TRANSFER VEOLIA WATER DELAWARE, INC.'S RIGHTS UNDER ITS CPCN TO THE CITY OF NEWARK TO PROVIDE WATER SERVICE TO CERTAIN PROPERTIES (FILED AUGUST 31, 2023) </w:t>
            </w:r>
          </w:p>
          <w:p w14:paraId="5E02BD38" w14:textId="77777777" w:rsidR="00423173" w:rsidRPr="00D53D91" w:rsidRDefault="00423173" w:rsidP="00423173">
            <w:pPr>
              <w:jc w:val="both"/>
              <w:rPr>
                <w:rFonts w:ascii="Times New Roman" w:hAnsi="Times New Roman"/>
                <w:b/>
              </w:rPr>
            </w:pPr>
          </w:p>
        </w:tc>
        <w:tc>
          <w:tcPr>
            <w:tcW w:w="540" w:type="dxa"/>
          </w:tcPr>
          <w:p w14:paraId="2A21E9BB"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72108359"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7E8BD40E"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55531E7C"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70C56F8F"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6155AC18"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11125EF5"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53934C5E" w14:textId="77777777" w:rsidR="00423173" w:rsidRPr="00D53D91" w:rsidRDefault="00423173" w:rsidP="00423173">
            <w:pPr>
              <w:jc w:val="both"/>
              <w:rPr>
                <w:rFonts w:ascii="Times New Roman" w:hAnsi="Times New Roman"/>
                <w:bCs/>
              </w:rPr>
            </w:pPr>
            <w:r w:rsidRPr="00D53D91">
              <w:rPr>
                <w:rFonts w:ascii="Times New Roman" w:hAnsi="Times New Roman"/>
                <w:bCs/>
              </w:rPr>
              <w:t>)</w:t>
            </w:r>
          </w:p>
          <w:p w14:paraId="2EB80B55" w14:textId="54E588FD" w:rsidR="00423173" w:rsidRPr="00D53D91" w:rsidRDefault="00423173" w:rsidP="00423173">
            <w:pPr>
              <w:jc w:val="both"/>
              <w:rPr>
                <w:rFonts w:ascii="Times New Roman" w:hAnsi="Times New Roman"/>
                <w:bCs/>
              </w:rPr>
            </w:pPr>
            <w:r w:rsidRPr="00D53D91">
              <w:rPr>
                <w:rFonts w:ascii="Times New Roman" w:hAnsi="Times New Roman"/>
                <w:bCs/>
              </w:rPr>
              <w:t>)</w:t>
            </w:r>
          </w:p>
        </w:tc>
        <w:tc>
          <w:tcPr>
            <w:tcW w:w="3061" w:type="dxa"/>
          </w:tcPr>
          <w:p w14:paraId="659783F5" w14:textId="77777777" w:rsidR="00423173" w:rsidRPr="00D53D91" w:rsidRDefault="00423173" w:rsidP="00423173">
            <w:pPr>
              <w:jc w:val="both"/>
              <w:rPr>
                <w:rFonts w:ascii="Times New Roman" w:hAnsi="Times New Roman"/>
                <w:b/>
                <w:bCs/>
              </w:rPr>
            </w:pPr>
          </w:p>
          <w:p w14:paraId="00AE442C" w14:textId="77777777" w:rsidR="00423173" w:rsidRPr="00D53D91" w:rsidRDefault="00423173" w:rsidP="00423173">
            <w:pPr>
              <w:jc w:val="both"/>
              <w:rPr>
                <w:rFonts w:ascii="Times New Roman" w:hAnsi="Times New Roman"/>
                <w:b/>
                <w:bCs/>
              </w:rPr>
            </w:pPr>
          </w:p>
          <w:p w14:paraId="3879EA42" w14:textId="77777777" w:rsidR="00423173" w:rsidRPr="00D53D91" w:rsidRDefault="00423173" w:rsidP="00423173">
            <w:pPr>
              <w:jc w:val="both"/>
              <w:rPr>
                <w:rFonts w:ascii="Times New Roman" w:hAnsi="Times New Roman"/>
                <w:b/>
                <w:bCs/>
              </w:rPr>
            </w:pPr>
          </w:p>
          <w:p w14:paraId="7E18BABF" w14:textId="77777777" w:rsidR="00423173" w:rsidRPr="00D53D91" w:rsidRDefault="00423173" w:rsidP="00423173">
            <w:pPr>
              <w:jc w:val="both"/>
              <w:rPr>
                <w:rFonts w:ascii="Times New Roman" w:hAnsi="Times New Roman"/>
                <w:bCs/>
              </w:rPr>
            </w:pPr>
          </w:p>
          <w:p w14:paraId="381CA824" w14:textId="5CBECF78" w:rsidR="00423173" w:rsidRPr="00D53D91" w:rsidRDefault="00423173" w:rsidP="00423173">
            <w:pPr>
              <w:jc w:val="both"/>
              <w:rPr>
                <w:rFonts w:ascii="Times New Roman" w:hAnsi="Times New Roman"/>
                <w:bCs/>
              </w:rPr>
            </w:pPr>
            <w:r w:rsidRPr="00D53D91">
              <w:rPr>
                <w:rFonts w:ascii="Times New Roman" w:hAnsi="Times New Roman"/>
                <w:bCs/>
              </w:rPr>
              <w:t>PSC DOCKET NO. 23-1165</w:t>
            </w:r>
          </w:p>
        </w:tc>
      </w:tr>
    </w:tbl>
    <w:p w14:paraId="4EED2038" w14:textId="77777777" w:rsidR="00593C17" w:rsidRPr="00D53D91" w:rsidRDefault="00593C17" w:rsidP="008D678D">
      <w:pPr>
        <w:jc w:val="both"/>
        <w:rPr>
          <w:rFonts w:ascii="Times New Roman" w:hAnsi="Times New Roman"/>
        </w:rPr>
      </w:pPr>
    </w:p>
    <w:p w14:paraId="79F9D7A9" w14:textId="20A79620" w:rsidR="008D678D" w:rsidRPr="00D53D91" w:rsidRDefault="00227BDB" w:rsidP="0054503D">
      <w:pPr>
        <w:tabs>
          <w:tab w:val="left" w:pos="1313"/>
          <w:tab w:val="center" w:pos="4320"/>
        </w:tabs>
        <w:jc w:val="center"/>
        <w:outlineLvl w:val="0"/>
        <w:rPr>
          <w:rFonts w:ascii="Times New Roman" w:hAnsi="Times New Roman"/>
          <w:bCs/>
          <w:u w:val="single"/>
        </w:rPr>
      </w:pPr>
      <w:r w:rsidRPr="00D53D91">
        <w:rPr>
          <w:rFonts w:ascii="Times New Roman" w:hAnsi="Times New Roman"/>
          <w:b/>
          <w:bCs/>
        </w:rPr>
        <w:t xml:space="preserve">ORDER NO. </w:t>
      </w:r>
      <w:r w:rsidR="002D12C9" w:rsidRPr="00D53D91">
        <w:rPr>
          <w:rFonts w:ascii="Times New Roman" w:hAnsi="Times New Roman"/>
          <w:b/>
          <w:bCs/>
          <w:u w:val="single"/>
        </w:rPr>
        <w:t>10</w:t>
      </w:r>
      <w:r w:rsidR="00EE51FE">
        <w:rPr>
          <w:rFonts w:ascii="Times New Roman" w:hAnsi="Times New Roman"/>
          <w:b/>
          <w:bCs/>
          <w:u w:val="single"/>
        </w:rPr>
        <w:t>297</w:t>
      </w:r>
    </w:p>
    <w:p w14:paraId="00D36E00" w14:textId="77777777" w:rsidR="008D678D" w:rsidRPr="00D53D91" w:rsidRDefault="008D678D" w:rsidP="008D678D">
      <w:pPr>
        <w:rPr>
          <w:rFonts w:ascii="Times New Roman" w:hAnsi="Times New Roman"/>
          <w:bCs/>
        </w:rPr>
      </w:pPr>
    </w:p>
    <w:p w14:paraId="260E8A13" w14:textId="2FE3CE3C" w:rsidR="008D678D" w:rsidRPr="00D53D91" w:rsidRDefault="008D678D" w:rsidP="008D678D">
      <w:pPr>
        <w:spacing w:line="480" w:lineRule="auto"/>
        <w:jc w:val="both"/>
        <w:rPr>
          <w:rFonts w:ascii="Times New Roman" w:hAnsi="Times New Roman"/>
          <w:bCs/>
        </w:rPr>
      </w:pPr>
      <w:r w:rsidRPr="00D53D91">
        <w:rPr>
          <w:rFonts w:ascii="Times New Roman" w:hAnsi="Times New Roman"/>
          <w:b/>
          <w:bCs/>
        </w:rPr>
        <w:tab/>
        <w:t xml:space="preserve">AND NOW, </w:t>
      </w:r>
      <w:r w:rsidRPr="00D53D91">
        <w:rPr>
          <w:rFonts w:ascii="Times New Roman" w:hAnsi="Times New Roman"/>
          <w:bCs/>
        </w:rPr>
        <w:t xml:space="preserve">this </w:t>
      </w:r>
      <w:r w:rsidR="001F0060" w:rsidRPr="00D53D91">
        <w:rPr>
          <w:rFonts w:ascii="Times New Roman" w:hAnsi="Times New Roman"/>
          <w:bCs/>
        </w:rPr>
        <w:t>13</w:t>
      </w:r>
      <w:r w:rsidR="004E06EA" w:rsidRPr="00D53D91">
        <w:rPr>
          <w:rFonts w:ascii="Times New Roman" w:hAnsi="Times New Roman"/>
          <w:bCs/>
          <w:vertAlign w:val="superscript"/>
        </w:rPr>
        <w:t>th</w:t>
      </w:r>
      <w:r w:rsidRPr="00D53D91">
        <w:rPr>
          <w:rFonts w:ascii="Times New Roman" w:hAnsi="Times New Roman"/>
          <w:bCs/>
        </w:rPr>
        <w:t xml:space="preserve"> </w:t>
      </w:r>
      <w:r w:rsidR="00043DE1" w:rsidRPr="00D53D91">
        <w:rPr>
          <w:rFonts w:ascii="Times New Roman" w:hAnsi="Times New Roman"/>
          <w:bCs/>
        </w:rPr>
        <w:t xml:space="preserve">day </w:t>
      </w:r>
      <w:r w:rsidRPr="00D53D91">
        <w:rPr>
          <w:rFonts w:ascii="Times New Roman" w:hAnsi="Times New Roman"/>
          <w:bCs/>
        </w:rPr>
        <w:t>of</w:t>
      </w:r>
      <w:r w:rsidR="00C8475F" w:rsidRPr="00D53D91">
        <w:rPr>
          <w:rFonts w:ascii="Times New Roman" w:hAnsi="Times New Roman"/>
          <w:bCs/>
        </w:rPr>
        <w:t xml:space="preserve"> </w:t>
      </w:r>
      <w:r w:rsidR="001F0060" w:rsidRPr="00D53D91">
        <w:rPr>
          <w:rFonts w:ascii="Times New Roman" w:hAnsi="Times New Roman"/>
          <w:bCs/>
        </w:rPr>
        <w:t>September</w:t>
      </w:r>
      <w:r w:rsidR="00EB7A52" w:rsidRPr="00D53D91">
        <w:rPr>
          <w:rFonts w:ascii="Times New Roman" w:hAnsi="Times New Roman"/>
          <w:bCs/>
        </w:rPr>
        <w:t xml:space="preserve"> 20</w:t>
      </w:r>
      <w:r w:rsidR="0091387F" w:rsidRPr="00D53D91">
        <w:rPr>
          <w:rFonts w:ascii="Times New Roman" w:hAnsi="Times New Roman"/>
          <w:bCs/>
        </w:rPr>
        <w:t>2</w:t>
      </w:r>
      <w:r w:rsidR="00C953EA">
        <w:rPr>
          <w:rFonts w:ascii="Times New Roman" w:hAnsi="Times New Roman"/>
          <w:bCs/>
        </w:rPr>
        <w:t>3</w:t>
      </w:r>
      <w:r w:rsidRPr="00D53D91">
        <w:rPr>
          <w:rFonts w:ascii="Times New Roman" w:hAnsi="Times New Roman"/>
          <w:bCs/>
        </w:rPr>
        <w:t>, the Delaware Public Service Commission (“Commission”) determines and orders the following:</w:t>
      </w:r>
    </w:p>
    <w:p w14:paraId="15C68CBD" w14:textId="1EB9D5F4" w:rsidR="00C131D5" w:rsidRDefault="00C131D5" w:rsidP="00C131D5">
      <w:pPr>
        <w:spacing w:line="480" w:lineRule="auto"/>
        <w:ind w:firstLine="720"/>
        <w:jc w:val="both"/>
        <w:rPr>
          <w:rFonts w:ascii="Times New Roman" w:hAnsi="Times New Roman"/>
        </w:rPr>
      </w:pPr>
      <w:r w:rsidRPr="00D53D91">
        <w:rPr>
          <w:rFonts w:ascii="Times New Roman" w:hAnsi="Times New Roman"/>
          <w:b/>
        </w:rPr>
        <w:t>WHEREAS</w:t>
      </w:r>
      <w:r w:rsidRPr="00D53D91">
        <w:rPr>
          <w:rFonts w:ascii="Times New Roman" w:hAnsi="Times New Roman"/>
        </w:rPr>
        <w:t>, on</w:t>
      </w:r>
      <w:r w:rsidR="00423173" w:rsidRPr="00D53D91">
        <w:rPr>
          <w:rFonts w:ascii="Times New Roman" w:hAnsi="Times New Roman"/>
        </w:rPr>
        <w:t xml:space="preserve"> August 31, 2023, Veolia Water Delaware, Inc. ("</w:t>
      </w:r>
      <w:r w:rsidR="0034144E">
        <w:rPr>
          <w:rFonts w:ascii="Times New Roman" w:hAnsi="Times New Roman"/>
        </w:rPr>
        <w:t>Veolia</w:t>
      </w:r>
      <w:r w:rsidR="00423173" w:rsidRPr="00D53D91">
        <w:rPr>
          <w:rFonts w:ascii="Times New Roman" w:hAnsi="Times New Roman"/>
        </w:rPr>
        <w:t>”)</w:t>
      </w:r>
      <w:r w:rsidR="00020F76">
        <w:rPr>
          <w:rStyle w:val="FootnoteReference"/>
          <w:rFonts w:ascii="Times New Roman" w:hAnsi="Times New Roman"/>
        </w:rPr>
        <w:footnoteReference w:id="1"/>
      </w:r>
      <w:r w:rsidR="00423173" w:rsidRPr="00D53D91">
        <w:rPr>
          <w:rFonts w:ascii="Times New Roman" w:hAnsi="Times New Roman"/>
        </w:rPr>
        <w:t>, and the City of Newark</w:t>
      </w:r>
      <w:r w:rsidR="00020F76">
        <w:rPr>
          <w:rStyle w:val="FootnoteReference"/>
          <w:rFonts w:ascii="Times New Roman" w:hAnsi="Times New Roman"/>
        </w:rPr>
        <w:footnoteReference w:id="2"/>
      </w:r>
      <w:r w:rsidR="00423173" w:rsidRPr="00D53D91">
        <w:rPr>
          <w:rFonts w:ascii="Times New Roman" w:hAnsi="Times New Roman"/>
        </w:rPr>
        <w:t xml:space="preserve"> (“Newark” or “City”) (together, the “Applicants”) filed an application (the “Application”)</w:t>
      </w:r>
      <w:r w:rsidR="0034144E">
        <w:rPr>
          <w:rFonts w:ascii="Times New Roman" w:hAnsi="Times New Roman"/>
        </w:rPr>
        <w:t xml:space="preserve"> pursuant to 26 </w:t>
      </w:r>
      <w:r w:rsidR="0034144E" w:rsidRPr="00F84A19">
        <w:rPr>
          <w:rFonts w:ascii="Times New Roman" w:hAnsi="Times New Roman"/>
          <w:i/>
          <w:iCs/>
        </w:rPr>
        <w:t>Del. C</w:t>
      </w:r>
      <w:r w:rsidR="0034144E">
        <w:rPr>
          <w:rFonts w:ascii="Times New Roman" w:hAnsi="Times New Roman"/>
        </w:rPr>
        <w:t>. §</w:t>
      </w:r>
      <w:r w:rsidR="00B73800">
        <w:rPr>
          <w:rFonts w:ascii="Times New Roman" w:hAnsi="Times New Roman"/>
        </w:rPr>
        <w:t>§</w:t>
      </w:r>
      <w:r w:rsidR="0034144E">
        <w:rPr>
          <w:rFonts w:ascii="Times New Roman" w:hAnsi="Times New Roman"/>
        </w:rPr>
        <w:t xml:space="preserve"> 215(a)(1) and (d)</w:t>
      </w:r>
      <w:r w:rsidR="00423173" w:rsidRPr="00D53D91">
        <w:rPr>
          <w:rFonts w:ascii="Times New Roman" w:hAnsi="Times New Roman"/>
        </w:rPr>
        <w:t xml:space="preserve"> seeking approval by the Delaware Public Service Commission (“Commission”) to transfer </w:t>
      </w:r>
      <w:r w:rsidR="00B73800">
        <w:rPr>
          <w:rFonts w:ascii="Times New Roman" w:hAnsi="Times New Roman"/>
        </w:rPr>
        <w:t xml:space="preserve">Veolia’s </w:t>
      </w:r>
      <w:r w:rsidR="00423173" w:rsidRPr="00D53D91">
        <w:rPr>
          <w:rFonts w:ascii="Times New Roman" w:hAnsi="Times New Roman"/>
        </w:rPr>
        <w:t>rights under its certificate</w:t>
      </w:r>
      <w:r w:rsidR="00171F5D">
        <w:rPr>
          <w:rFonts w:ascii="Times New Roman" w:hAnsi="Times New Roman"/>
        </w:rPr>
        <w:t>s</w:t>
      </w:r>
      <w:r w:rsidR="00423173" w:rsidRPr="00D53D91">
        <w:rPr>
          <w:rFonts w:ascii="Times New Roman" w:hAnsi="Times New Roman"/>
        </w:rPr>
        <w:t xml:space="preserve"> of public convenience and necessity (“CPCN</w:t>
      </w:r>
      <w:r w:rsidR="0034144E">
        <w:rPr>
          <w:rFonts w:ascii="Times New Roman" w:hAnsi="Times New Roman"/>
        </w:rPr>
        <w:t>(s)</w:t>
      </w:r>
      <w:r w:rsidR="00423173" w:rsidRPr="00D53D91">
        <w:rPr>
          <w:rFonts w:ascii="Times New Roman" w:hAnsi="Times New Roman"/>
        </w:rPr>
        <w:t xml:space="preserve">”) as </w:t>
      </w:r>
      <w:r w:rsidR="00753C16">
        <w:rPr>
          <w:rFonts w:ascii="Times New Roman" w:hAnsi="Times New Roman"/>
        </w:rPr>
        <w:t xml:space="preserve">they </w:t>
      </w:r>
      <w:r w:rsidR="00423173" w:rsidRPr="00D53D91">
        <w:rPr>
          <w:rFonts w:ascii="Times New Roman" w:hAnsi="Times New Roman"/>
        </w:rPr>
        <w:t xml:space="preserve">relate to certain properties </w:t>
      </w:r>
      <w:r w:rsidR="00C953EA" w:rsidRPr="00C953EA">
        <w:rPr>
          <w:rFonts w:ascii="Times New Roman" w:hAnsi="Times New Roman"/>
        </w:rPr>
        <w:t xml:space="preserve">(the “Properties”) </w:t>
      </w:r>
      <w:r w:rsidR="00423173" w:rsidRPr="00D53D91">
        <w:rPr>
          <w:rFonts w:ascii="Times New Roman" w:hAnsi="Times New Roman"/>
        </w:rPr>
        <w:t xml:space="preserve">as further described herein to the City of Newark, and to revise the official maps reflecting </w:t>
      </w:r>
      <w:r w:rsidR="0034144E">
        <w:rPr>
          <w:rFonts w:ascii="Times New Roman" w:hAnsi="Times New Roman"/>
        </w:rPr>
        <w:t>Veolia’s</w:t>
      </w:r>
      <w:r w:rsidR="0034144E" w:rsidRPr="00D53D91">
        <w:rPr>
          <w:rFonts w:ascii="Times New Roman" w:hAnsi="Times New Roman"/>
        </w:rPr>
        <w:t xml:space="preserve"> </w:t>
      </w:r>
      <w:r w:rsidR="00423173" w:rsidRPr="00D53D91">
        <w:rPr>
          <w:rFonts w:ascii="Times New Roman" w:hAnsi="Times New Roman"/>
        </w:rPr>
        <w:t xml:space="preserve">service territory to reflect that Veolia will no longer have the right to serve or provide water service to </w:t>
      </w:r>
      <w:r w:rsidR="0034144E">
        <w:rPr>
          <w:rFonts w:ascii="Times New Roman" w:hAnsi="Times New Roman"/>
        </w:rPr>
        <w:t>the</w:t>
      </w:r>
      <w:r w:rsidR="0034144E" w:rsidRPr="00D53D91">
        <w:rPr>
          <w:rFonts w:ascii="Times New Roman" w:hAnsi="Times New Roman"/>
        </w:rPr>
        <w:t xml:space="preserve"> </w:t>
      </w:r>
      <w:r w:rsidR="0034144E">
        <w:rPr>
          <w:rFonts w:ascii="Times New Roman" w:hAnsi="Times New Roman"/>
        </w:rPr>
        <w:t>P</w:t>
      </w:r>
      <w:r w:rsidR="00423173" w:rsidRPr="00D53D91">
        <w:rPr>
          <w:rFonts w:ascii="Times New Roman" w:hAnsi="Times New Roman"/>
        </w:rPr>
        <w:t>roperties</w:t>
      </w:r>
      <w:r w:rsidRPr="00D53D91">
        <w:rPr>
          <w:rFonts w:ascii="Times New Roman" w:hAnsi="Times New Roman"/>
        </w:rPr>
        <w:t>; and</w:t>
      </w:r>
    </w:p>
    <w:p w14:paraId="776E22A8" w14:textId="77777777" w:rsidR="00500080" w:rsidRDefault="00500080" w:rsidP="00500080">
      <w:pPr>
        <w:ind w:firstLine="720"/>
        <w:jc w:val="both"/>
        <w:rPr>
          <w:rFonts w:ascii="Times New Roman" w:hAnsi="Times New Roman"/>
        </w:rPr>
      </w:pPr>
      <w:r w:rsidRPr="00D53D91">
        <w:rPr>
          <w:rFonts w:ascii="Times New Roman" w:hAnsi="Times New Roman"/>
          <w:b/>
        </w:rPr>
        <w:t>WHEREAS</w:t>
      </w:r>
      <w:r w:rsidRPr="00D53D91">
        <w:rPr>
          <w:rFonts w:ascii="Times New Roman" w:hAnsi="Times New Roman"/>
        </w:rPr>
        <w:t>,</w:t>
      </w:r>
      <w:r>
        <w:rPr>
          <w:rFonts w:ascii="Times New Roman" w:hAnsi="Times New Roman"/>
        </w:rPr>
        <w:t xml:space="preserve"> 26 </w:t>
      </w:r>
      <w:r w:rsidRPr="004200D6">
        <w:rPr>
          <w:rFonts w:ascii="Times New Roman" w:hAnsi="Times New Roman"/>
          <w:i/>
          <w:iCs/>
        </w:rPr>
        <w:t>Del. C.</w:t>
      </w:r>
      <w:r>
        <w:rPr>
          <w:rFonts w:ascii="Times New Roman" w:hAnsi="Times New Roman"/>
        </w:rPr>
        <w:t xml:space="preserve"> § 215(a)(1) provides: </w:t>
      </w:r>
    </w:p>
    <w:p w14:paraId="57347207" w14:textId="77777777" w:rsidR="00500080" w:rsidRDefault="00500080" w:rsidP="00500080">
      <w:pPr>
        <w:ind w:firstLine="720"/>
        <w:jc w:val="both"/>
        <w:rPr>
          <w:rFonts w:ascii="Times New Roman" w:hAnsi="Times New Roman"/>
        </w:rPr>
      </w:pPr>
    </w:p>
    <w:p w14:paraId="12075F12" w14:textId="22A724AB" w:rsidR="00500080" w:rsidRPr="00C856B5" w:rsidRDefault="00500080" w:rsidP="00BB7A8C">
      <w:pPr>
        <w:shd w:val="clear" w:color="auto" w:fill="FFFFFF"/>
        <w:ind w:left="720" w:right="720"/>
        <w:jc w:val="both"/>
        <w:rPr>
          <w:rFonts w:ascii="Times New Roman" w:hAnsi="Times New Roman"/>
          <w:color w:val="000000"/>
        </w:rPr>
      </w:pPr>
      <w:r w:rsidRPr="00C856B5">
        <w:rPr>
          <w:rFonts w:ascii="Times New Roman" w:hAnsi="Times New Roman"/>
          <w:color w:val="000000"/>
          <w:bdr w:val="none" w:sz="0" w:space="0" w:color="auto" w:frame="1"/>
          <w:shd w:val="clear" w:color="auto" w:fill="FFFFFF"/>
        </w:rPr>
        <w:lastRenderedPageBreak/>
        <w:t>No public utility, without having first obtained the approval of the Commission, shall [</w:t>
      </w:r>
      <w:r w:rsidRPr="00C856B5">
        <w:rPr>
          <w:rFonts w:ascii="Times New Roman" w:hAnsi="Times New Roman"/>
          <w:color w:val="000000"/>
        </w:rPr>
        <w:t>d]irectly or indirectly merge or consolidate with any other person or company, or sell, lease, assign, or mortgage except by supplemental indenture in accordance with the terms of a mortgage outstanding September 1, 1949, or otherwise dispose of or encumber any essential part of its franchises, plant, equipment or other property, necessary or useful in the performance of its duty to the public; and</w:t>
      </w:r>
    </w:p>
    <w:p w14:paraId="3CAAEEB6" w14:textId="278F57AB" w:rsidR="00500080" w:rsidRPr="00C856B5" w:rsidRDefault="00500080" w:rsidP="00BB7A8C">
      <w:pPr>
        <w:shd w:val="clear" w:color="auto" w:fill="FFFFFF"/>
        <w:ind w:left="720" w:right="720"/>
        <w:jc w:val="both"/>
        <w:rPr>
          <w:rFonts w:ascii="Times New Roman" w:hAnsi="Times New Roman"/>
          <w:color w:val="000000"/>
        </w:rPr>
      </w:pPr>
    </w:p>
    <w:p w14:paraId="49DE8C99" w14:textId="3E88071D" w:rsidR="00500080" w:rsidRPr="00C856B5" w:rsidRDefault="00500080" w:rsidP="00BB7A8C">
      <w:pPr>
        <w:ind w:right="720"/>
        <w:jc w:val="both"/>
        <w:rPr>
          <w:rFonts w:ascii="Times New Roman" w:hAnsi="Times New Roman"/>
        </w:rPr>
      </w:pPr>
      <w:r w:rsidRPr="00C856B5">
        <w:rPr>
          <w:rFonts w:ascii="Times New Roman" w:hAnsi="Times New Roman"/>
          <w:b/>
        </w:rPr>
        <w:t>WHEREAS</w:t>
      </w:r>
      <w:r w:rsidRPr="00C856B5">
        <w:rPr>
          <w:rFonts w:ascii="Times New Roman" w:hAnsi="Times New Roman"/>
        </w:rPr>
        <w:t xml:space="preserve">, 26 </w:t>
      </w:r>
      <w:r w:rsidRPr="00C856B5">
        <w:rPr>
          <w:rFonts w:ascii="Times New Roman" w:hAnsi="Times New Roman"/>
          <w:i/>
          <w:iCs/>
        </w:rPr>
        <w:t>Del. C.</w:t>
      </w:r>
      <w:r w:rsidRPr="00C856B5">
        <w:rPr>
          <w:rFonts w:ascii="Times New Roman" w:hAnsi="Times New Roman"/>
        </w:rPr>
        <w:t xml:space="preserve"> § 215(d) provides: </w:t>
      </w:r>
    </w:p>
    <w:p w14:paraId="79C49315" w14:textId="77777777" w:rsidR="00500080" w:rsidRPr="00C856B5" w:rsidRDefault="00500080" w:rsidP="00BB7A8C">
      <w:pPr>
        <w:ind w:right="720" w:firstLine="720"/>
        <w:jc w:val="both"/>
        <w:rPr>
          <w:rFonts w:ascii="Times New Roman" w:hAnsi="Times New Roman"/>
        </w:rPr>
      </w:pPr>
    </w:p>
    <w:p w14:paraId="482BB343" w14:textId="029F1FA8" w:rsidR="00500080" w:rsidRPr="00BB7A8C" w:rsidRDefault="00500080" w:rsidP="00BB7A8C">
      <w:pPr>
        <w:shd w:val="clear" w:color="auto" w:fill="FFFFFF"/>
        <w:ind w:left="720" w:right="720"/>
        <w:jc w:val="both"/>
        <w:rPr>
          <w:rFonts w:ascii="Times New Roman" w:hAnsi="Times New Roman"/>
          <w:color w:val="000000"/>
        </w:rPr>
      </w:pPr>
      <w:r w:rsidRPr="00C856B5">
        <w:rPr>
          <w:rFonts w:ascii="Times New Roman" w:hAnsi="Times New Roman"/>
          <w:color w:val="000000"/>
          <w:bdr w:val="none" w:sz="0" w:space="0" w:color="auto" w:frame="1"/>
          <w:shd w:val="clear" w:color="auto" w:fill="FFFFFF"/>
        </w:rPr>
        <w:t>The Commission shall approve any such proposed merger, mortgage, transfer, issue, assumption or acquisition when it finds that the same is to be made in accordance with law, for a proper purpose and is consistent with the public interest. The Commission may make such investigation and hold such hearings in the matter as it deems necessary, and thereafter may grant any application under this section in whole or in part and with such modification and upon such terms and conditions as it deems necessary or appropriate. The Commission shall grant, modify, refuse or prescribe appropriate terms and conditions with respect to every such application within 30 days after the filing of the application therefor, except that with respect to any application filed under subsection (b) hereof, if the Commission gives notice to the parties of a hearing to be held by the Commission with respect to the application and the hearing is commenced within such 30 days or on a date mutually acceptable to the Commission and the parties, the Commission shall have 30 days after the submission of the hearing examiner's report or recommended decision within which to render its decision. In the absence of any such action within such period of time, any such proposed merger, mortgage, transfer, issue, assumption or acquisition shall be deemed to be approved</w:t>
      </w:r>
      <w:r w:rsidR="00C856B5">
        <w:rPr>
          <w:rFonts w:ascii="Times New Roman" w:hAnsi="Times New Roman"/>
          <w:color w:val="000000"/>
          <w:bdr w:val="none" w:sz="0" w:space="0" w:color="auto" w:frame="1"/>
          <w:shd w:val="clear" w:color="auto" w:fill="FFFFFF"/>
        </w:rPr>
        <w:t>;</w:t>
      </w:r>
      <w:r w:rsidR="00020F76" w:rsidRPr="00C856B5">
        <w:rPr>
          <w:rFonts w:ascii="Times New Roman" w:hAnsi="Times New Roman"/>
          <w:color w:val="000000"/>
          <w:bdr w:val="none" w:sz="0" w:space="0" w:color="auto" w:frame="1"/>
          <w:shd w:val="clear" w:color="auto" w:fill="FFFFFF"/>
        </w:rPr>
        <w:t xml:space="preserve"> and</w:t>
      </w:r>
    </w:p>
    <w:p w14:paraId="76F1613B" w14:textId="77777777" w:rsidR="00500080" w:rsidRPr="00BB7A8C" w:rsidRDefault="00500080" w:rsidP="00BB7A8C">
      <w:pPr>
        <w:shd w:val="clear" w:color="auto" w:fill="FFFFFF"/>
        <w:ind w:left="720" w:right="720"/>
        <w:jc w:val="both"/>
        <w:rPr>
          <w:rFonts w:ascii="Times New Roman" w:hAnsi="Times New Roman"/>
          <w:color w:val="000000"/>
        </w:rPr>
      </w:pPr>
    </w:p>
    <w:p w14:paraId="4A6F2146" w14:textId="25D7B84D" w:rsidR="007E08C5" w:rsidRPr="00D53D91" w:rsidRDefault="007E08C5" w:rsidP="007E08C5">
      <w:pPr>
        <w:spacing w:line="480" w:lineRule="auto"/>
        <w:ind w:firstLine="720"/>
        <w:jc w:val="both"/>
        <w:rPr>
          <w:rFonts w:ascii="Times New Roman" w:hAnsi="Times New Roman"/>
        </w:rPr>
      </w:pPr>
      <w:r w:rsidRPr="00D53D91">
        <w:rPr>
          <w:rFonts w:ascii="Times New Roman" w:hAnsi="Times New Roman"/>
          <w:b/>
        </w:rPr>
        <w:t>WHEREAS</w:t>
      </w:r>
      <w:r w:rsidRPr="00D53D91">
        <w:rPr>
          <w:rFonts w:ascii="Times New Roman" w:hAnsi="Times New Roman"/>
        </w:rPr>
        <w:t xml:space="preserve">, </w:t>
      </w:r>
      <w:r w:rsidR="00020F76">
        <w:rPr>
          <w:rFonts w:ascii="Times New Roman" w:hAnsi="Times New Roman"/>
        </w:rPr>
        <w:t xml:space="preserve">according to the </w:t>
      </w:r>
      <w:r w:rsidR="00020F76" w:rsidRPr="00D53D91">
        <w:rPr>
          <w:rFonts w:ascii="Times New Roman" w:hAnsi="Times New Roman"/>
        </w:rPr>
        <w:t>Commission</w:t>
      </w:r>
      <w:r w:rsidR="00CA30B3">
        <w:rPr>
          <w:rFonts w:ascii="Times New Roman" w:hAnsi="Times New Roman"/>
        </w:rPr>
        <w:t>’s</w:t>
      </w:r>
      <w:r w:rsidR="00BB7A8C">
        <w:rPr>
          <w:rFonts w:ascii="Times New Roman" w:hAnsi="Times New Roman"/>
        </w:rPr>
        <w:t xml:space="preserve"> </w:t>
      </w:r>
      <w:r w:rsidR="00020F76">
        <w:rPr>
          <w:rFonts w:ascii="Times New Roman" w:hAnsi="Times New Roman"/>
        </w:rPr>
        <w:t xml:space="preserve">official service territory maps, the </w:t>
      </w:r>
      <w:r w:rsidRPr="00D53D91">
        <w:rPr>
          <w:rFonts w:ascii="Times New Roman" w:hAnsi="Times New Roman"/>
        </w:rPr>
        <w:t>Properties are currently located in Veolia's water service territory; and</w:t>
      </w:r>
    </w:p>
    <w:p w14:paraId="288EA451" w14:textId="31FC0D88" w:rsidR="00FE2072" w:rsidRDefault="00FE2072" w:rsidP="00FE2072">
      <w:pPr>
        <w:spacing w:line="480" w:lineRule="auto"/>
        <w:ind w:firstLine="720"/>
        <w:jc w:val="both"/>
        <w:rPr>
          <w:rFonts w:ascii="Times New Roman" w:hAnsi="Times New Roman"/>
        </w:rPr>
      </w:pPr>
      <w:bookmarkStart w:id="0" w:name="_Hlk144447474"/>
      <w:r w:rsidRPr="00FE2072">
        <w:rPr>
          <w:rFonts w:ascii="Times New Roman" w:hAnsi="Times New Roman"/>
          <w:b/>
        </w:rPr>
        <w:t>WHEREAS</w:t>
      </w:r>
      <w:r w:rsidRPr="00FE2072">
        <w:rPr>
          <w:rFonts w:ascii="Times New Roman" w:hAnsi="Times New Roman"/>
        </w:rPr>
        <w:t>,</w:t>
      </w:r>
      <w:bookmarkEnd w:id="0"/>
      <w:r w:rsidRPr="00FE2072">
        <w:rPr>
          <w:rFonts w:ascii="Times New Roman" w:hAnsi="Times New Roman"/>
        </w:rPr>
        <w:t xml:space="preserve"> </w:t>
      </w:r>
      <w:r w:rsidRPr="00D53D91">
        <w:rPr>
          <w:rFonts w:ascii="Times New Roman" w:hAnsi="Times New Roman"/>
        </w:rPr>
        <w:t xml:space="preserve">in the 1950s and 1960s, the Commission had the authority to issue CPCNs for water service.  That </w:t>
      </w:r>
      <w:r w:rsidR="00020F76">
        <w:rPr>
          <w:rFonts w:ascii="Times New Roman" w:hAnsi="Times New Roman"/>
        </w:rPr>
        <w:t>authority</w:t>
      </w:r>
      <w:r w:rsidR="00020F76" w:rsidRPr="00D53D91">
        <w:rPr>
          <w:rFonts w:ascii="Times New Roman" w:hAnsi="Times New Roman"/>
        </w:rPr>
        <w:t xml:space="preserve"> </w:t>
      </w:r>
      <w:r w:rsidRPr="00D53D91">
        <w:rPr>
          <w:rFonts w:ascii="Times New Roman" w:hAnsi="Times New Roman"/>
        </w:rPr>
        <w:t xml:space="preserve">was later transferred to the Delaware Department of Natural Resources and Environmental Control in the 1970s, and </w:t>
      </w:r>
      <w:r w:rsidR="00500080">
        <w:rPr>
          <w:rFonts w:ascii="Times New Roman" w:hAnsi="Times New Roman"/>
        </w:rPr>
        <w:t xml:space="preserve">then </w:t>
      </w:r>
      <w:r w:rsidRPr="00D53D91">
        <w:rPr>
          <w:rFonts w:ascii="Times New Roman" w:hAnsi="Times New Roman"/>
        </w:rPr>
        <w:t>back to the Commission in 2001</w:t>
      </w:r>
      <w:r w:rsidRPr="00FE2072">
        <w:rPr>
          <w:rFonts w:ascii="Times New Roman" w:hAnsi="Times New Roman"/>
        </w:rPr>
        <w:t>; and</w:t>
      </w:r>
    </w:p>
    <w:p w14:paraId="303BC3A0" w14:textId="588FCBEA" w:rsidR="00F16915" w:rsidRPr="00F84A19" w:rsidRDefault="00F16915" w:rsidP="00F84A19">
      <w:pPr>
        <w:pStyle w:val="NoSpacing"/>
        <w:spacing w:line="480" w:lineRule="auto"/>
        <w:ind w:firstLine="720"/>
        <w:jc w:val="both"/>
        <w:rPr>
          <w:rFonts w:ascii="Times New Roman" w:eastAsia="Calibri" w:hAnsi="Times New Roman" w:cs="Times New Roman"/>
          <w:sz w:val="24"/>
          <w:szCs w:val="24"/>
        </w:rPr>
      </w:pPr>
      <w:r w:rsidRPr="00F84A19">
        <w:rPr>
          <w:rFonts w:ascii="Times New Roman" w:hAnsi="Times New Roman"/>
          <w:b/>
          <w:sz w:val="24"/>
          <w:szCs w:val="24"/>
        </w:rPr>
        <w:t>WHEREAS</w:t>
      </w:r>
      <w:r w:rsidRPr="00F84A19">
        <w:rPr>
          <w:rFonts w:ascii="Times New Roman" w:hAnsi="Times New Roman"/>
          <w:sz w:val="24"/>
          <w:szCs w:val="24"/>
        </w:rPr>
        <w:t xml:space="preserve">, </w:t>
      </w:r>
      <w:r w:rsidRPr="00F16915">
        <w:rPr>
          <w:rFonts w:ascii="Times New Roman" w:eastAsia="Calibri" w:hAnsi="Times New Roman" w:cs="Times New Roman"/>
          <w:sz w:val="24"/>
          <w:szCs w:val="24"/>
        </w:rPr>
        <w:t>Newark, via act of the General Assembly, has maintained the authority to provide water service to customers residing outside of its municipal boundaries since 1925.</w:t>
      </w:r>
      <w:r w:rsidRPr="00F16915">
        <w:rPr>
          <w:rStyle w:val="FootnoteReference"/>
          <w:rFonts w:ascii="Times New Roman" w:eastAsia="Calibri" w:hAnsi="Times New Roman"/>
          <w:sz w:val="24"/>
          <w:szCs w:val="24"/>
        </w:rPr>
        <w:footnoteReference w:id="3"/>
      </w:r>
      <w:r w:rsidRPr="00F16915">
        <w:rPr>
          <w:rFonts w:ascii="Times New Roman" w:eastAsia="Calibri" w:hAnsi="Times New Roman" w:cs="Times New Roman"/>
          <w:sz w:val="24"/>
          <w:szCs w:val="24"/>
        </w:rPr>
        <w:t xml:space="preserve">  By </w:t>
      </w:r>
      <w:r w:rsidRPr="00F16915">
        <w:rPr>
          <w:rFonts w:ascii="Times New Roman" w:eastAsia="Calibri" w:hAnsi="Times New Roman" w:cs="Times New Roman"/>
          <w:sz w:val="24"/>
          <w:szCs w:val="24"/>
        </w:rPr>
        <w:lastRenderedPageBreak/>
        <w:t>amendment of its municipal Charter</w:t>
      </w:r>
      <w:r w:rsidRPr="00F16915">
        <w:rPr>
          <w:rStyle w:val="FootnoteReference"/>
          <w:rFonts w:ascii="Times New Roman" w:eastAsia="Calibri" w:hAnsi="Times New Roman"/>
          <w:sz w:val="24"/>
          <w:szCs w:val="24"/>
        </w:rPr>
        <w:footnoteReference w:id="4"/>
      </w:r>
      <w:r w:rsidRPr="00F16915">
        <w:rPr>
          <w:rFonts w:ascii="Times New Roman" w:eastAsia="Calibri" w:hAnsi="Times New Roman" w:cs="Times New Roman"/>
          <w:sz w:val="24"/>
          <w:szCs w:val="24"/>
        </w:rPr>
        <w:t xml:space="preserve"> (‘the Charter”) in 1955, Newark obtained the right to provide water service to properties located within ten (10) miles outside of its municipal boundaries</w:t>
      </w:r>
      <w:r w:rsidR="00020F76">
        <w:rPr>
          <w:rFonts w:ascii="Times New Roman" w:eastAsia="Calibri" w:hAnsi="Times New Roman" w:cs="Times New Roman"/>
          <w:sz w:val="24"/>
          <w:szCs w:val="24"/>
        </w:rPr>
        <w:t>;</w:t>
      </w:r>
      <w:r w:rsidRPr="00F16915">
        <w:rPr>
          <w:rStyle w:val="FootnoteReference"/>
          <w:rFonts w:ascii="Times New Roman" w:eastAsia="Calibri" w:hAnsi="Times New Roman"/>
          <w:sz w:val="24"/>
          <w:szCs w:val="24"/>
        </w:rPr>
        <w:footnoteReference w:id="5"/>
      </w:r>
      <w:r w:rsidR="00020F76">
        <w:rPr>
          <w:rFonts w:ascii="Times New Roman" w:eastAsia="Calibri" w:hAnsi="Times New Roman" w:cs="Times New Roman"/>
          <w:sz w:val="24"/>
          <w:szCs w:val="24"/>
        </w:rPr>
        <w:t xml:space="preserve"> and</w:t>
      </w:r>
      <w:r w:rsidRPr="00F16915">
        <w:rPr>
          <w:rFonts w:ascii="Times New Roman" w:eastAsia="Calibri" w:hAnsi="Times New Roman" w:cs="Times New Roman"/>
          <w:sz w:val="24"/>
          <w:szCs w:val="24"/>
        </w:rPr>
        <w:t xml:space="preserve"> </w:t>
      </w:r>
    </w:p>
    <w:p w14:paraId="33AA3490" w14:textId="705F2259" w:rsidR="00FE2072" w:rsidRPr="00D53D91" w:rsidRDefault="00FE2072" w:rsidP="00FE2072">
      <w:pPr>
        <w:spacing w:line="480" w:lineRule="auto"/>
        <w:ind w:firstLine="720"/>
        <w:jc w:val="both"/>
        <w:rPr>
          <w:rFonts w:ascii="Times New Roman" w:hAnsi="Times New Roman"/>
        </w:rPr>
      </w:pPr>
      <w:r w:rsidRPr="00FE2072">
        <w:rPr>
          <w:rFonts w:ascii="Times New Roman" w:hAnsi="Times New Roman"/>
          <w:b/>
        </w:rPr>
        <w:t>WHEREAS</w:t>
      </w:r>
      <w:r w:rsidRPr="00FE2072">
        <w:rPr>
          <w:rFonts w:ascii="Times New Roman" w:hAnsi="Times New Roman"/>
        </w:rPr>
        <w:t>,</w:t>
      </w:r>
      <w:r w:rsidRPr="00D53D91">
        <w:rPr>
          <w:rFonts w:ascii="Times New Roman" w:hAnsi="Times New Roman"/>
        </w:rPr>
        <w:t xml:space="preserve"> in 1995, </w:t>
      </w:r>
      <w:r w:rsidR="00F84A19">
        <w:rPr>
          <w:rFonts w:ascii="Times New Roman" w:hAnsi="Times New Roman"/>
        </w:rPr>
        <w:t xml:space="preserve">a period </w:t>
      </w:r>
      <w:r w:rsidR="00517637">
        <w:rPr>
          <w:rFonts w:ascii="Times New Roman" w:hAnsi="Times New Roman"/>
        </w:rPr>
        <w:t xml:space="preserve">during </w:t>
      </w:r>
      <w:r w:rsidR="00F84A19">
        <w:rPr>
          <w:rFonts w:ascii="Times New Roman" w:hAnsi="Times New Roman"/>
        </w:rPr>
        <w:t xml:space="preserve">which the Commission did not have official authority to issue CPCNs for water service, </w:t>
      </w:r>
      <w:r w:rsidRPr="00D53D91">
        <w:rPr>
          <w:rFonts w:ascii="Times New Roman" w:hAnsi="Times New Roman"/>
        </w:rPr>
        <w:t>Veolia</w:t>
      </w:r>
      <w:r w:rsidR="00E654F6">
        <w:rPr>
          <w:rFonts w:ascii="Times New Roman" w:hAnsi="Times New Roman"/>
        </w:rPr>
        <w:t>’s prede</w:t>
      </w:r>
      <w:r w:rsidR="009E51CD">
        <w:rPr>
          <w:rFonts w:ascii="Times New Roman" w:hAnsi="Times New Roman"/>
        </w:rPr>
        <w:t>cessor</w:t>
      </w:r>
      <w:r w:rsidRPr="00D53D91">
        <w:rPr>
          <w:rFonts w:ascii="Times New Roman" w:hAnsi="Times New Roman"/>
        </w:rPr>
        <w:t xml:space="preserve"> obtained certain CPCNs for properties outside the City</w:t>
      </w:r>
      <w:r w:rsidR="00F84A19">
        <w:rPr>
          <w:rFonts w:ascii="Times New Roman" w:hAnsi="Times New Roman"/>
        </w:rPr>
        <w:t xml:space="preserve"> of Newark</w:t>
      </w:r>
      <w:r w:rsidRPr="00D53D91">
        <w:rPr>
          <w:rFonts w:ascii="Times New Roman" w:hAnsi="Times New Roman"/>
        </w:rPr>
        <w:t xml:space="preserve">.  When Veolia’s predecessor obtained </w:t>
      </w:r>
      <w:r w:rsidR="009E51CD">
        <w:rPr>
          <w:rFonts w:ascii="Times New Roman" w:hAnsi="Times New Roman"/>
        </w:rPr>
        <w:t xml:space="preserve">these </w:t>
      </w:r>
      <w:r w:rsidRPr="00D53D91">
        <w:rPr>
          <w:rFonts w:ascii="Times New Roman" w:hAnsi="Times New Roman"/>
        </w:rPr>
        <w:t>CPCN</w:t>
      </w:r>
      <w:r w:rsidR="009E51CD">
        <w:rPr>
          <w:rFonts w:ascii="Times New Roman" w:hAnsi="Times New Roman"/>
        </w:rPr>
        <w:t>s</w:t>
      </w:r>
      <w:r w:rsidRPr="00D53D91">
        <w:rPr>
          <w:rFonts w:ascii="Times New Roman" w:hAnsi="Times New Roman"/>
        </w:rPr>
        <w:t>, Newark</w:t>
      </w:r>
      <w:r w:rsidR="009E51CD">
        <w:rPr>
          <w:rFonts w:ascii="Times New Roman" w:hAnsi="Times New Roman"/>
        </w:rPr>
        <w:t xml:space="preserve"> was</w:t>
      </w:r>
      <w:r w:rsidRPr="00D53D91">
        <w:rPr>
          <w:rFonts w:ascii="Times New Roman" w:hAnsi="Times New Roman"/>
        </w:rPr>
        <w:t xml:space="preserve"> already provid</w:t>
      </w:r>
      <w:r w:rsidR="009E51CD">
        <w:rPr>
          <w:rFonts w:ascii="Times New Roman" w:hAnsi="Times New Roman"/>
        </w:rPr>
        <w:t>ing</w:t>
      </w:r>
      <w:r w:rsidRPr="00D53D91">
        <w:rPr>
          <w:rFonts w:ascii="Times New Roman" w:hAnsi="Times New Roman"/>
        </w:rPr>
        <w:t xml:space="preserve"> water service</w:t>
      </w:r>
      <w:r w:rsidR="00F16915">
        <w:rPr>
          <w:rFonts w:ascii="Times New Roman" w:hAnsi="Times New Roman"/>
        </w:rPr>
        <w:t>, and continued to provide water service,</w:t>
      </w:r>
      <w:r w:rsidRPr="00D53D91">
        <w:rPr>
          <w:rFonts w:ascii="Times New Roman" w:hAnsi="Times New Roman"/>
        </w:rPr>
        <w:t xml:space="preserve"> to certain of those properties </w:t>
      </w:r>
      <w:r w:rsidR="00F16915">
        <w:rPr>
          <w:rFonts w:ascii="Times New Roman" w:hAnsi="Times New Roman"/>
        </w:rPr>
        <w:t>by the authority of its Charter</w:t>
      </w:r>
      <w:r w:rsidRPr="00D53D91">
        <w:rPr>
          <w:rFonts w:ascii="Times New Roman" w:hAnsi="Times New Roman"/>
        </w:rPr>
        <w:t>; and</w:t>
      </w:r>
    </w:p>
    <w:p w14:paraId="5F4E169F" w14:textId="3CEF7A04" w:rsidR="00FE2072" w:rsidRPr="00D53D91" w:rsidRDefault="00FE2072" w:rsidP="00FE2072">
      <w:pPr>
        <w:spacing w:line="480" w:lineRule="auto"/>
        <w:ind w:firstLine="720"/>
        <w:jc w:val="both"/>
        <w:rPr>
          <w:rFonts w:ascii="Times New Roman" w:hAnsi="Times New Roman"/>
        </w:rPr>
      </w:pPr>
      <w:bookmarkStart w:id="1" w:name="_Hlk144447554"/>
      <w:r w:rsidRPr="00FE2072">
        <w:rPr>
          <w:rFonts w:ascii="Times New Roman" w:hAnsi="Times New Roman"/>
          <w:b/>
        </w:rPr>
        <w:t>WHEREAS</w:t>
      </w:r>
      <w:bookmarkEnd w:id="1"/>
      <w:r w:rsidRPr="00FE2072">
        <w:rPr>
          <w:rFonts w:ascii="Times New Roman" w:hAnsi="Times New Roman"/>
        </w:rPr>
        <w:t>,</w:t>
      </w:r>
      <w:r w:rsidRPr="00D53D91">
        <w:rPr>
          <w:rFonts w:ascii="Times New Roman" w:hAnsi="Times New Roman"/>
        </w:rPr>
        <w:t xml:space="preserve"> in 2021, an issue arose as to whether Veolia or Newark provided water service to </w:t>
      </w:r>
      <w:r w:rsidR="00500080">
        <w:rPr>
          <w:rFonts w:ascii="Times New Roman" w:hAnsi="Times New Roman"/>
        </w:rPr>
        <w:t>a</w:t>
      </w:r>
      <w:r w:rsidR="00500080" w:rsidRPr="00D53D91">
        <w:rPr>
          <w:rFonts w:ascii="Times New Roman" w:hAnsi="Times New Roman"/>
        </w:rPr>
        <w:t xml:space="preserve"> </w:t>
      </w:r>
      <w:r w:rsidRPr="00D53D91">
        <w:rPr>
          <w:rFonts w:ascii="Times New Roman" w:hAnsi="Times New Roman"/>
        </w:rPr>
        <w:t xml:space="preserve">certain property located at 1364 Marrows Road, Newark, Delaware (the “Property”), as both the Company and Newark claimed that they had provided water service to some portion of the Property at various points in time; and  </w:t>
      </w:r>
    </w:p>
    <w:p w14:paraId="51C6C706" w14:textId="18428A23" w:rsidR="00FE2072" w:rsidRPr="00FE2072" w:rsidRDefault="00FE2072" w:rsidP="00FE2072">
      <w:pPr>
        <w:spacing w:line="480" w:lineRule="auto"/>
        <w:ind w:firstLine="720"/>
        <w:jc w:val="both"/>
        <w:rPr>
          <w:rFonts w:ascii="Times New Roman" w:hAnsi="Times New Roman"/>
        </w:rPr>
      </w:pPr>
      <w:r w:rsidRPr="00FE2072">
        <w:rPr>
          <w:rFonts w:ascii="Times New Roman" w:hAnsi="Times New Roman"/>
        </w:rPr>
        <w:t xml:space="preserve"> </w:t>
      </w:r>
      <w:r w:rsidRPr="00FE2072">
        <w:rPr>
          <w:rFonts w:ascii="Times New Roman" w:hAnsi="Times New Roman"/>
          <w:b/>
        </w:rPr>
        <w:t>WHEREAS</w:t>
      </w:r>
      <w:r w:rsidRPr="00D53D91">
        <w:rPr>
          <w:rFonts w:ascii="Times New Roman" w:hAnsi="Times New Roman"/>
        </w:rPr>
        <w:t>, o</w:t>
      </w:r>
      <w:r w:rsidRPr="00FE2072">
        <w:rPr>
          <w:rFonts w:ascii="Times New Roman" w:hAnsi="Times New Roman"/>
        </w:rPr>
        <w:t>n August 26, 2021, Veolia</w:t>
      </w:r>
      <w:r w:rsidR="00500080">
        <w:rPr>
          <w:rFonts w:ascii="Times New Roman" w:hAnsi="Times New Roman"/>
        </w:rPr>
        <w:t>’s predecessor</w:t>
      </w:r>
      <w:r w:rsidRPr="00FE2072">
        <w:rPr>
          <w:rFonts w:ascii="Times New Roman" w:hAnsi="Times New Roman"/>
        </w:rPr>
        <w:t xml:space="preserve"> filed an informal complaint with the Commission claiming a right to provide water service to the Property, which Newark opposed</w:t>
      </w:r>
      <w:r w:rsidRPr="00D53D91">
        <w:rPr>
          <w:rFonts w:ascii="Times New Roman" w:hAnsi="Times New Roman"/>
        </w:rPr>
        <w:t>; and</w:t>
      </w:r>
    </w:p>
    <w:p w14:paraId="6A135EC5" w14:textId="3F5FEE0C" w:rsidR="00FE2072" w:rsidRPr="00FE2072" w:rsidRDefault="00FE2072" w:rsidP="00FE2072">
      <w:pPr>
        <w:spacing w:line="480" w:lineRule="auto"/>
        <w:ind w:firstLine="720"/>
        <w:jc w:val="both"/>
        <w:rPr>
          <w:rFonts w:ascii="Times New Roman" w:hAnsi="Times New Roman"/>
        </w:rPr>
      </w:pPr>
      <w:bookmarkStart w:id="2" w:name="_Hlk144447649"/>
      <w:r w:rsidRPr="00FE2072">
        <w:rPr>
          <w:rFonts w:ascii="Times New Roman" w:hAnsi="Times New Roman"/>
          <w:b/>
        </w:rPr>
        <w:t>WHEREAS</w:t>
      </w:r>
      <w:bookmarkEnd w:id="2"/>
      <w:r w:rsidRPr="00D53D91">
        <w:rPr>
          <w:rFonts w:ascii="Times New Roman" w:hAnsi="Times New Roman"/>
        </w:rPr>
        <w:t>, o</w:t>
      </w:r>
      <w:r w:rsidRPr="00FE2072">
        <w:rPr>
          <w:rFonts w:ascii="Times New Roman" w:hAnsi="Times New Roman"/>
        </w:rPr>
        <w:t>n September 8, 2021, Newark filed an action against Veolia</w:t>
      </w:r>
      <w:r w:rsidR="00500080">
        <w:rPr>
          <w:rFonts w:ascii="Times New Roman" w:hAnsi="Times New Roman"/>
        </w:rPr>
        <w:t>’s predecessor</w:t>
      </w:r>
      <w:r w:rsidRPr="00FE2072">
        <w:rPr>
          <w:rFonts w:ascii="Times New Roman" w:hAnsi="Times New Roman"/>
        </w:rPr>
        <w:t xml:space="preserve"> in the Court of Chancery pertaining to the provision of water service to the Property.  Veolia and Newark ultimately settled the matter regarding water service to the Property, and both the informal complaint filed with the Commission and the Chancery Court action were dismissed</w:t>
      </w:r>
      <w:r w:rsidR="00D53D91" w:rsidRPr="00D53D91">
        <w:rPr>
          <w:rFonts w:ascii="Times New Roman" w:hAnsi="Times New Roman"/>
        </w:rPr>
        <w:t>; and</w:t>
      </w:r>
      <w:r w:rsidRPr="00FE2072">
        <w:rPr>
          <w:rFonts w:ascii="Times New Roman" w:hAnsi="Times New Roman"/>
        </w:rPr>
        <w:t xml:space="preserve"> </w:t>
      </w:r>
    </w:p>
    <w:p w14:paraId="42737771" w14:textId="68E3E086" w:rsidR="00FE2072" w:rsidRPr="00F84A19" w:rsidRDefault="00D53D91" w:rsidP="005A7BF7">
      <w:pPr>
        <w:spacing w:line="480" w:lineRule="auto"/>
        <w:ind w:firstLine="720"/>
        <w:jc w:val="both"/>
        <w:rPr>
          <w:rFonts w:ascii="Times New Roman" w:eastAsia="Calibri" w:hAnsi="Times New Roman"/>
        </w:rPr>
      </w:pPr>
      <w:r w:rsidRPr="00FE2072">
        <w:rPr>
          <w:rFonts w:ascii="Times New Roman" w:hAnsi="Times New Roman"/>
          <w:b/>
        </w:rPr>
        <w:t>WHEREAS</w:t>
      </w:r>
      <w:r w:rsidRPr="00D53D91">
        <w:rPr>
          <w:rFonts w:ascii="Times New Roman" w:hAnsi="Times New Roman"/>
        </w:rPr>
        <w:t xml:space="preserve">, </w:t>
      </w:r>
      <w:r w:rsidR="00500080">
        <w:rPr>
          <w:rFonts w:ascii="Times New Roman" w:eastAsia="Calibri" w:hAnsi="Times New Roman"/>
        </w:rPr>
        <w:t xml:space="preserve"> a</w:t>
      </w:r>
      <w:r w:rsidR="00500080" w:rsidRPr="00740E37">
        <w:rPr>
          <w:rFonts w:ascii="Times New Roman" w:eastAsia="Calibri" w:hAnsi="Times New Roman"/>
        </w:rPr>
        <w:t xml:space="preserve">s part of the settlement, Veolia and Newark agreed to address which </w:t>
      </w:r>
      <w:r w:rsidR="00500080">
        <w:rPr>
          <w:rFonts w:ascii="Times New Roman" w:eastAsia="Calibri" w:hAnsi="Times New Roman"/>
        </w:rPr>
        <w:t xml:space="preserve">public </w:t>
      </w:r>
      <w:r w:rsidR="00500080" w:rsidRPr="00740E37">
        <w:rPr>
          <w:rFonts w:ascii="Times New Roman" w:eastAsia="Calibri" w:hAnsi="Times New Roman"/>
        </w:rPr>
        <w:t xml:space="preserve">utility provided water service to other properties located within or outside the City of Newark municipal boundary (which was also located within the area of the Veolia CPCN) and, upon </w:t>
      </w:r>
      <w:r w:rsidR="00500080" w:rsidRPr="00740E37">
        <w:rPr>
          <w:rFonts w:ascii="Times New Roman" w:eastAsia="Calibri" w:hAnsi="Times New Roman"/>
        </w:rPr>
        <w:lastRenderedPageBreak/>
        <w:t>making such determination, to formalize this arrangement through the Commission so that the official maps for water service kept by the Commission could be properly modified and the rights to serve those properties already served by the City would be transferred to the City</w:t>
      </w:r>
      <w:r w:rsidR="00500080">
        <w:rPr>
          <w:rFonts w:ascii="Times New Roman" w:eastAsia="Calibri" w:hAnsi="Times New Roman"/>
        </w:rPr>
        <w:t>; and</w:t>
      </w:r>
      <w:r w:rsidR="00500080" w:rsidRPr="00740E37">
        <w:rPr>
          <w:rFonts w:ascii="Times New Roman" w:eastAsia="Calibri" w:hAnsi="Times New Roman"/>
        </w:rPr>
        <w:t xml:space="preserve"> </w:t>
      </w:r>
    </w:p>
    <w:p w14:paraId="0A14DC12" w14:textId="1DE1D9C5" w:rsidR="00F16915" w:rsidRDefault="00D53D91" w:rsidP="00C561E9">
      <w:pPr>
        <w:spacing w:line="480" w:lineRule="auto"/>
        <w:ind w:firstLine="720"/>
        <w:jc w:val="both"/>
        <w:rPr>
          <w:rFonts w:ascii="Times New Roman" w:hAnsi="Times New Roman"/>
          <w:b/>
          <w:bCs/>
        </w:rPr>
      </w:pPr>
      <w:r w:rsidRPr="00FE2072">
        <w:rPr>
          <w:rFonts w:ascii="Times New Roman" w:hAnsi="Times New Roman"/>
          <w:b/>
        </w:rPr>
        <w:t>WHEREAS</w:t>
      </w:r>
      <w:r w:rsidRPr="00D53D91">
        <w:rPr>
          <w:rFonts w:ascii="Times New Roman" w:hAnsi="Times New Roman"/>
        </w:rPr>
        <w:t>, after further research</w:t>
      </w:r>
      <w:r w:rsidR="00500080">
        <w:rPr>
          <w:rFonts w:ascii="Times New Roman" w:hAnsi="Times New Roman"/>
        </w:rPr>
        <w:t xml:space="preserve"> of</w:t>
      </w:r>
      <w:r w:rsidRPr="00D53D91">
        <w:rPr>
          <w:rFonts w:ascii="Times New Roman" w:hAnsi="Times New Roman"/>
        </w:rPr>
        <w:t xml:space="preserve"> the issue, Veolia and Newark determined that</w:t>
      </w:r>
      <w:r w:rsidR="008313AE">
        <w:rPr>
          <w:rFonts w:ascii="Times New Roman" w:hAnsi="Times New Roman"/>
        </w:rPr>
        <w:t xml:space="preserve">: (1) </w:t>
      </w:r>
      <w:r w:rsidR="00500080">
        <w:rPr>
          <w:rFonts w:ascii="Times New Roman" w:hAnsi="Times New Roman"/>
        </w:rPr>
        <w:t>the</w:t>
      </w:r>
      <w:r w:rsidRPr="00D53D91">
        <w:rPr>
          <w:rFonts w:ascii="Times New Roman" w:hAnsi="Times New Roman"/>
        </w:rPr>
        <w:t xml:space="preserve"> </w:t>
      </w:r>
      <w:r w:rsidR="00500080">
        <w:rPr>
          <w:rFonts w:ascii="Times New Roman" w:hAnsi="Times New Roman"/>
        </w:rPr>
        <w:t>P</w:t>
      </w:r>
      <w:r w:rsidR="00500080" w:rsidRPr="00D53D91">
        <w:rPr>
          <w:rFonts w:ascii="Times New Roman" w:hAnsi="Times New Roman"/>
        </w:rPr>
        <w:t xml:space="preserve">roperties </w:t>
      </w:r>
      <w:r w:rsidRPr="00D53D91">
        <w:rPr>
          <w:rFonts w:ascii="Times New Roman" w:hAnsi="Times New Roman"/>
        </w:rPr>
        <w:t xml:space="preserve">located </w:t>
      </w:r>
      <w:r w:rsidR="005A7BF7" w:rsidRPr="001F1881">
        <w:rPr>
          <w:rFonts w:ascii="Times New Roman" w:hAnsi="Times New Roman"/>
        </w:rPr>
        <w:t xml:space="preserve">within </w:t>
      </w:r>
      <w:r w:rsidR="005A7BF7">
        <w:rPr>
          <w:rFonts w:ascii="Times New Roman" w:hAnsi="Times New Roman"/>
        </w:rPr>
        <w:t>Veolia’s</w:t>
      </w:r>
      <w:r w:rsidR="005A7BF7" w:rsidRPr="001F1881">
        <w:rPr>
          <w:rFonts w:ascii="Times New Roman" w:hAnsi="Times New Roman"/>
        </w:rPr>
        <w:t xml:space="preserve"> service territory</w:t>
      </w:r>
      <w:r w:rsidR="005A7BF7">
        <w:rPr>
          <w:rFonts w:ascii="Times New Roman" w:hAnsi="Times New Roman"/>
        </w:rPr>
        <w:t xml:space="preserve"> are located</w:t>
      </w:r>
      <w:r w:rsidR="005A7BF7" w:rsidRPr="00D53D91">
        <w:rPr>
          <w:rFonts w:ascii="Times New Roman" w:hAnsi="Times New Roman"/>
        </w:rPr>
        <w:t xml:space="preserve"> </w:t>
      </w:r>
      <w:r w:rsidRPr="00D53D91">
        <w:rPr>
          <w:rFonts w:ascii="Times New Roman" w:hAnsi="Times New Roman"/>
        </w:rPr>
        <w:t>both inside and outside the municipal limits of the City of Newark</w:t>
      </w:r>
      <w:r w:rsidR="008313AE">
        <w:rPr>
          <w:rFonts w:ascii="Times New Roman" w:hAnsi="Times New Roman"/>
        </w:rPr>
        <w:t>;</w:t>
      </w:r>
      <w:r w:rsidRPr="00D53D91">
        <w:rPr>
          <w:rFonts w:ascii="Times New Roman" w:hAnsi="Times New Roman"/>
        </w:rPr>
        <w:t xml:space="preserve"> </w:t>
      </w:r>
      <w:r w:rsidR="008313AE">
        <w:rPr>
          <w:rFonts w:ascii="Times New Roman" w:hAnsi="Times New Roman"/>
        </w:rPr>
        <w:t xml:space="preserve">(2) </w:t>
      </w:r>
      <w:r w:rsidR="005A7BF7" w:rsidRPr="001F1881">
        <w:rPr>
          <w:rFonts w:ascii="Times New Roman" w:hAnsi="Times New Roman"/>
        </w:rPr>
        <w:t xml:space="preserve">Newark provided water service </w:t>
      </w:r>
      <w:r w:rsidR="000B2A99">
        <w:rPr>
          <w:rFonts w:ascii="Times New Roman" w:hAnsi="Times New Roman"/>
        </w:rPr>
        <w:t xml:space="preserve">to these Properties </w:t>
      </w:r>
      <w:r w:rsidR="002436D3">
        <w:rPr>
          <w:rFonts w:ascii="Times New Roman" w:hAnsi="Times New Roman"/>
        </w:rPr>
        <w:t xml:space="preserve">pursuant to its Charter </w:t>
      </w:r>
      <w:r w:rsidR="005A7BF7" w:rsidRPr="001F1881">
        <w:rPr>
          <w:rFonts w:ascii="Times New Roman" w:hAnsi="Times New Roman"/>
        </w:rPr>
        <w:t>prior to the issuance of Veolia’s 1995 CPCN</w:t>
      </w:r>
      <w:r w:rsidR="008313AE">
        <w:rPr>
          <w:rFonts w:ascii="Times New Roman" w:hAnsi="Times New Roman"/>
        </w:rPr>
        <w:t>;</w:t>
      </w:r>
      <w:r w:rsidR="005A7BF7" w:rsidRPr="001F1881">
        <w:rPr>
          <w:rFonts w:ascii="Times New Roman" w:hAnsi="Times New Roman"/>
        </w:rPr>
        <w:t xml:space="preserve"> and </w:t>
      </w:r>
      <w:r w:rsidR="008313AE">
        <w:rPr>
          <w:rFonts w:ascii="Times New Roman" w:hAnsi="Times New Roman"/>
        </w:rPr>
        <w:t xml:space="preserve">(3) </w:t>
      </w:r>
      <w:r w:rsidR="005A7BF7" w:rsidRPr="001F1881">
        <w:rPr>
          <w:rFonts w:ascii="Times New Roman" w:hAnsi="Times New Roman"/>
        </w:rPr>
        <w:t>Newark continues to provide water service</w:t>
      </w:r>
      <w:r w:rsidR="002436D3">
        <w:rPr>
          <w:rFonts w:ascii="Times New Roman" w:hAnsi="Times New Roman"/>
        </w:rPr>
        <w:t xml:space="preserve"> to these Properties</w:t>
      </w:r>
      <w:r w:rsidR="005A7BF7">
        <w:rPr>
          <w:rFonts w:ascii="Times New Roman" w:hAnsi="Times New Roman"/>
        </w:rPr>
        <w:t>;</w:t>
      </w:r>
      <w:r w:rsidR="005A7BF7" w:rsidRPr="00D53D91" w:rsidDel="005A7BF7">
        <w:rPr>
          <w:rFonts w:ascii="Times New Roman" w:hAnsi="Times New Roman"/>
        </w:rPr>
        <w:t xml:space="preserve"> </w:t>
      </w:r>
      <w:r w:rsidRPr="00D53D91">
        <w:rPr>
          <w:rFonts w:ascii="Times New Roman" w:hAnsi="Times New Roman"/>
        </w:rPr>
        <w:t>and</w:t>
      </w:r>
      <w:r w:rsidR="00C561E9" w:rsidRPr="00D53D91">
        <w:rPr>
          <w:rFonts w:ascii="Times New Roman" w:hAnsi="Times New Roman"/>
          <w:b/>
          <w:bCs/>
        </w:rPr>
        <w:t xml:space="preserve">  </w:t>
      </w:r>
    </w:p>
    <w:p w14:paraId="7BB26ED3" w14:textId="41FC3CEC" w:rsidR="00F773C1" w:rsidRDefault="00C561E9" w:rsidP="00C561E9">
      <w:pPr>
        <w:spacing w:line="480" w:lineRule="auto"/>
        <w:ind w:firstLine="720"/>
        <w:jc w:val="both"/>
        <w:rPr>
          <w:rFonts w:ascii="Times New Roman" w:hAnsi="Times New Roman"/>
        </w:rPr>
      </w:pPr>
      <w:r w:rsidRPr="00D53D91">
        <w:rPr>
          <w:rFonts w:ascii="Times New Roman" w:hAnsi="Times New Roman"/>
          <w:b/>
          <w:bCs/>
        </w:rPr>
        <w:t>WHEREAS</w:t>
      </w:r>
      <w:r w:rsidR="00F773C1" w:rsidRPr="00D53D91">
        <w:rPr>
          <w:rFonts w:ascii="Times New Roman" w:hAnsi="Times New Roman"/>
        </w:rPr>
        <w:t xml:space="preserve">, Commission Staff </w:t>
      </w:r>
      <w:r w:rsidR="008313AE">
        <w:rPr>
          <w:rFonts w:ascii="Times New Roman" w:hAnsi="Times New Roman"/>
        </w:rPr>
        <w:t xml:space="preserve">has </w:t>
      </w:r>
      <w:r w:rsidR="00F773C1" w:rsidRPr="00D53D91">
        <w:rPr>
          <w:rFonts w:ascii="Times New Roman" w:hAnsi="Times New Roman"/>
        </w:rPr>
        <w:t xml:space="preserve">reviewed the Application and, by Memorandum dated </w:t>
      </w:r>
      <w:r w:rsidR="00256617" w:rsidRPr="00D53D91">
        <w:rPr>
          <w:rFonts w:ascii="Times New Roman" w:hAnsi="Times New Roman"/>
        </w:rPr>
        <w:t>September 6, 2023</w:t>
      </w:r>
      <w:r w:rsidR="00F773C1" w:rsidRPr="00D53D91">
        <w:rPr>
          <w:rFonts w:ascii="Times New Roman" w:hAnsi="Times New Roman"/>
        </w:rPr>
        <w:t>,</w:t>
      </w:r>
      <w:r w:rsidR="005A7BF7">
        <w:rPr>
          <w:rFonts w:ascii="Times New Roman" w:hAnsi="Times New Roman"/>
        </w:rPr>
        <w:t xml:space="preserve"> which the Commission incorporates by reference,</w:t>
      </w:r>
      <w:r w:rsidR="00F773C1" w:rsidRPr="00D53D91">
        <w:rPr>
          <w:rFonts w:ascii="Times New Roman" w:hAnsi="Times New Roman"/>
        </w:rPr>
        <w:t xml:space="preserve"> recommended that the Commission grant the Application because</w:t>
      </w:r>
      <w:r w:rsidR="000D5DCD" w:rsidRPr="00D53D91">
        <w:rPr>
          <w:rFonts w:ascii="Times New Roman" w:hAnsi="Times New Roman"/>
        </w:rPr>
        <w:t xml:space="preserve">, pursuant to 26 </w:t>
      </w:r>
      <w:r w:rsidR="000D5DCD" w:rsidRPr="00D53D91">
        <w:rPr>
          <w:rFonts w:ascii="Times New Roman" w:hAnsi="Times New Roman"/>
          <w:i/>
        </w:rPr>
        <w:t xml:space="preserve">Del. </w:t>
      </w:r>
      <w:r w:rsidR="000D5DCD" w:rsidRPr="00D53D91">
        <w:rPr>
          <w:rFonts w:ascii="Times New Roman" w:hAnsi="Times New Roman"/>
        </w:rPr>
        <w:t>C. § 215(d),</w:t>
      </w:r>
      <w:r w:rsidR="00F773C1" w:rsidRPr="00D53D91">
        <w:rPr>
          <w:rFonts w:ascii="Times New Roman" w:hAnsi="Times New Roman"/>
        </w:rPr>
        <w:t xml:space="preserve"> the </w:t>
      </w:r>
      <w:r w:rsidR="005A7BF7">
        <w:rPr>
          <w:rFonts w:ascii="Times New Roman" w:hAnsi="Times New Roman"/>
        </w:rPr>
        <w:t>transfer of Veolia’s CPCN rights to Newark</w:t>
      </w:r>
      <w:r w:rsidR="005A7BF7" w:rsidRPr="00D53D91">
        <w:rPr>
          <w:rFonts w:ascii="Times New Roman" w:hAnsi="Times New Roman"/>
        </w:rPr>
        <w:t xml:space="preserve"> </w:t>
      </w:r>
      <w:r w:rsidR="00F773C1" w:rsidRPr="00D53D91">
        <w:rPr>
          <w:rFonts w:ascii="Times New Roman" w:hAnsi="Times New Roman"/>
        </w:rPr>
        <w:t xml:space="preserve">is </w:t>
      </w:r>
      <w:r w:rsidR="000D5DCD" w:rsidRPr="00D53D91">
        <w:rPr>
          <w:rFonts w:ascii="Times New Roman" w:hAnsi="Times New Roman"/>
        </w:rPr>
        <w:t>made in</w:t>
      </w:r>
      <w:r w:rsidR="00F773C1" w:rsidRPr="00D53D91">
        <w:rPr>
          <w:rFonts w:ascii="Times New Roman" w:hAnsi="Times New Roman"/>
        </w:rPr>
        <w:t xml:space="preserve"> accordance with law, </w:t>
      </w:r>
      <w:r w:rsidR="000D5DCD" w:rsidRPr="00D53D91">
        <w:rPr>
          <w:rFonts w:ascii="Times New Roman" w:hAnsi="Times New Roman"/>
        </w:rPr>
        <w:t xml:space="preserve">for a </w:t>
      </w:r>
      <w:r w:rsidR="00F773C1" w:rsidRPr="00D53D91">
        <w:rPr>
          <w:rFonts w:ascii="Times New Roman" w:hAnsi="Times New Roman"/>
        </w:rPr>
        <w:t>proper purpose</w:t>
      </w:r>
      <w:r w:rsidR="000D5DCD" w:rsidRPr="00D53D91">
        <w:rPr>
          <w:rFonts w:ascii="Times New Roman" w:hAnsi="Times New Roman"/>
        </w:rPr>
        <w:t>,</w:t>
      </w:r>
      <w:r w:rsidR="00F773C1" w:rsidRPr="00D53D91">
        <w:rPr>
          <w:rFonts w:ascii="Times New Roman" w:hAnsi="Times New Roman"/>
        </w:rPr>
        <w:t xml:space="preserve"> and is</w:t>
      </w:r>
      <w:r w:rsidR="000D5DCD" w:rsidRPr="00D53D91">
        <w:rPr>
          <w:rFonts w:ascii="Times New Roman" w:hAnsi="Times New Roman"/>
        </w:rPr>
        <w:t xml:space="preserve"> consistent with</w:t>
      </w:r>
      <w:r w:rsidR="00F773C1" w:rsidRPr="00D53D91">
        <w:rPr>
          <w:rFonts w:ascii="Times New Roman" w:hAnsi="Times New Roman"/>
        </w:rPr>
        <w:t xml:space="preserve"> the public interest; and</w:t>
      </w:r>
    </w:p>
    <w:p w14:paraId="2E0857FE" w14:textId="5DFD446D" w:rsidR="005A7BF7" w:rsidRDefault="005A7BF7" w:rsidP="005A7BF7">
      <w:pPr>
        <w:spacing w:line="480" w:lineRule="auto"/>
        <w:ind w:firstLine="720"/>
        <w:jc w:val="both"/>
        <w:rPr>
          <w:rFonts w:ascii="Times New Roman" w:hAnsi="Times New Roman"/>
        </w:rPr>
      </w:pPr>
      <w:r w:rsidRPr="004200D6">
        <w:rPr>
          <w:rFonts w:ascii="Times New Roman" w:hAnsi="Times New Roman"/>
          <w:b/>
          <w:bCs/>
        </w:rPr>
        <w:t>WHEREAS</w:t>
      </w:r>
      <w:r>
        <w:rPr>
          <w:rFonts w:ascii="Times New Roman" w:hAnsi="Times New Roman"/>
        </w:rPr>
        <w:t xml:space="preserve">, due to </w:t>
      </w:r>
      <w:r w:rsidR="00A73D16">
        <w:rPr>
          <w:rFonts w:ascii="Times New Roman" w:hAnsi="Times New Roman"/>
        </w:rPr>
        <w:t xml:space="preserve">Newark’s </w:t>
      </w:r>
      <w:r>
        <w:rPr>
          <w:rFonts w:ascii="Times New Roman" w:hAnsi="Times New Roman"/>
        </w:rPr>
        <w:t>authority to provide water service to the Properties</w:t>
      </w:r>
      <w:r w:rsidR="007A4537">
        <w:rPr>
          <w:rFonts w:ascii="Times New Roman" w:hAnsi="Times New Roman"/>
        </w:rPr>
        <w:t xml:space="preserve"> as granted by its Charter</w:t>
      </w:r>
      <w:r>
        <w:rPr>
          <w:rFonts w:ascii="Times New Roman" w:hAnsi="Times New Roman"/>
        </w:rPr>
        <w:t xml:space="preserve">, and in consideration of the longevity of that water service, the Commission </w:t>
      </w:r>
      <w:r w:rsidR="00230ECC">
        <w:rPr>
          <w:rFonts w:ascii="Times New Roman" w:hAnsi="Times New Roman"/>
        </w:rPr>
        <w:t xml:space="preserve">finds </w:t>
      </w:r>
      <w:r>
        <w:rPr>
          <w:rFonts w:ascii="Times New Roman" w:hAnsi="Times New Roman"/>
        </w:rPr>
        <w:t>that the transfer of Veolia’s rights to provide water service to the Properties is in accordance with law, for a proper purpose, and is in the public interest; and</w:t>
      </w:r>
    </w:p>
    <w:p w14:paraId="51FE1376" w14:textId="6AC9CA4D" w:rsidR="005A7BF7" w:rsidRPr="00F84A19" w:rsidRDefault="005A7BF7" w:rsidP="005A7BF7">
      <w:pPr>
        <w:spacing w:line="480" w:lineRule="auto"/>
        <w:ind w:firstLine="720"/>
        <w:jc w:val="both"/>
        <w:rPr>
          <w:rFonts w:ascii="Times New Roman" w:hAnsi="Times New Roman"/>
        </w:rPr>
      </w:pPr>
      <w:r w:rsidRPr="00F84A19">
        <w:rPr>
          <w:rFonts w:ascii="Times New Roman" w:hAnsi="Times New Roman"/>
          <w:b/>
          <w:bCs/>
        </w:rPr>
        <w:t xml:space="preserve">WHEREAS, </w:t>
      </w:r>
      <w:r w:rsidRPr="00F84A19">
        <w:rPr>
          <w:rFonts w:ascii="Times New Roman" w:hAnsi="Times New Roman"/>
        </w:rPr>
        <w:t xml:space="preserve">to avoid this circumstance in the future, the City of Newark and any other public utility, whether or not regulated by the Commission, should comply with 26 </w:t>
      </w:r>
      <w:r w:rsidRPr="00F84A19">
        <w:rPr>
          <w:rFonts w:ascii="Times New Roman" w:hAnsi="Times New Roman"/>
          <w:i/>
          <w:iCs/>
        </w:rPr>
        <w:t>Del. Admin. C.</w:t>
      </w:r>
      <w:r w:rsidRPr="00F84A19">
        <w:rPr>
          <w:rFonts w:ascii="Times New Roman" w:hAnsi="Times New Roman"/>
        </w:rPr>
        <w:t xml:space="preserve"> § 2001-</w:t>
      </w:r>
      <w:r w:rsidRPr="00F84A19">
        <w:rPr>
          <w:rFonts w:ascii="Times New Roman" w:hAnsi="Times New Roman"/>
          <w:color w:val="000000"/>
          <w:bdr w:val="none" w:sz="0" w:space="0" w:color="auto" w:frame="1"/>
          <w:shd w:val="clear" w:color="auto" w:fill="FFFFFF"/>
        </w:rPr>
        <w:t>2.4.4</w:t>
      </w:r>
      <w:r w:rsidRPr="00F84A19">
        <w:rPr>
          <w:rStyle w:val="FootnoteReference"/>
          <w:rFonts w:ascii="Times New Roman" w:hAnsi="Times New Roman"/>
          <w:color w:val="000000"/>
          <w:bdr w:val="none" w:sz="0" w:space="0" w:color="auto" w:frame="1"/>
          <w:shd w:val="clear" w:color="auto" w:fill="FFFFFF"/>
        </w:rPr>
        <w:footnoteReference w:id="6"/>
      </w:r>
      <w:r w:rsidRPr="00F84A19">
        <w:rPr>
          <w:rFonts w:ascii="Times New Roman" w:hAnsi="Times New Roman"/>
          <w:color w:val="000000"/>
          <w:bdr w:val="none" w:sz="0" w:space="0" w:color="auto" w:frame="1"/>
          <w:shd w:val="clear" w:color="auto" w:fill="FFFFFF"/>
        </w:rPr>
        <w:t xml:space="preserve"> so that the Commission’s maps </w:t>
      </w:r>
      <w:r w:rsidR="00F84A19">
        <w:rPr>
          <w:rFonts w:ascii="Times New Roman" w:hAnsi="Times New Roman"/>
          <w:color w:val="000000"/>
          <w:bdr w:val="none" w:sz="0" w:space="0" w:color="auto" w:frame="1"/>
          <w:shd w:val="clear" w:color="auto" w:fill="FFFFFF"/>
        </w:rPr>
        <w:t>are</w:t>
      </w:r>
      <w:r w:rsidRPr="00F84A19">
        <w:rPr>
          <w:rFonts w:ascii="Times New Roman" w:hAnsi="Times New Roman"/>
          <w:color w:val="000000"/>
          <w:bdr w:val="none" w:sz="0" w:space="0" w:color="auto" w:frame="1"/>
          <w:shd w:val="clear" w:color="auto" w:fill="FFFFFF"/>
        </w:rPr>
        <w:t xml:space="preserve"> accurate;</w:t>
      </w:r>
    </w:p>
    <w:p w14:paraId="1FCBE5E0" w14:textId="77777777" w:rsidR="008D678D" w:rsidRPr="00D53D91" w:rsidRDefault="008D678D" w:rsidP="00D90B8C">
      <w:pPr>
        <w:jc w:val="both"/>
        <w:rPr>
          <w:rFonts w:ascii="Times New Roman" w:hAnsi="Times New Roman"/>
          <w:b/>
          <w:bCs/>
        </w:rPr>
      </w:pPr>
      <w:r w:rsidRPr="00D53D91">
        <w:rPr>
          <w:rFonts w:ascii="Times New Roman" w:hAnsi="Times New Roman"/>
        </w:rPr>
        <w:lastRenderedPageBreak/>
        <w:tab/>
      </w:r>
      <w:r w:rsidRPr="00D53D91">
        <w:rPr>
          <w:rFonts w:ascii="Times New Roman" w:hAnsi="Times New Roman"/>
          <w:b/>
        </w:rPr>
        <w:t>NOW, THEREFORE,</w:t>
      </w:r>
      <w:r w:rsidRPr="00D53D91">
        <w:rPr>
          <w:rFonts w:ascii="Times New Roman" w:hAnsi="Times New Roman"/>
        </w:rPr>
        <w:t xml:space="preserve"> </w:t>
      </w:r>
      <w:r w:rsidRPr="00D53D91">
        <w:rPr>
          <w:rFonts w:ascii="Times New Roman" w:hAnsi="Times New Roman"/>
          <w:b/>
          <w:bCs/>
        </w:rPr>
        <w:t>IT IS HEREBY ORDERED BY THE AFFIRMATIVE</w:t>
      </w:r>
    </w:p>
    <w:p w14:paraId="6C3E8702" w14:textId="77777777" w:rsidR="008D678D" w:rsidRPr="00D53D91" w:rsidRDefault="008D678D" w:rsidP="00E51F87">
      <w:pPr>
        <w:pStyle w:val="BodyTextIndent2"/>
        <w:spacing w:line="240" w:lineRule="auto"/>
        <w:ind w:firstLine="0"/>
        <w:jc w:val="center"/>
        <w:outlineLvl w:val="0"/>
        <w:rPr>
          <w:rFonts w:ascii="Times New Roman" w:hAnsi="Times New Roman" w:cs="Times New Roman"/>
          <w:b/>
          <w:bCs/>
          <w:sz w:val="24"/>
        </w:rPr>
      </w:pPr>
      <w:r w:rsidRPr="00D53D91">
        <w:rPr>
          <w:rFonts w:ascii="Times New Roman" w:hAnsi="Times New Roman" w:cs="Times New Roman"/>
          <w:b/>
          <w:bCs/>
          <w:sz w:val="24"/>
        </w:rPr>
        <w:t>VOTE OF NO FEWER THAN THREE COMMISSIONERS:</w:t>
      </w:r>
    </w:p>
    <w:p w14:paraId="35CE4041" w14:textId="77777777" w:rsidR="00E51F87" w:rsidRPr="00D53D91" w:rsidRDefault="00E51F87" w:rsidP="00E51F87">
      <w:pPr>
        <w:pStyle w:val="BodyTextIndent2"/>
        <w:spacing w:line="240" w:lineRule="auto"/>
        <w:ind w:firstLine="0"/>
        <w:jc w:val="center"/>
        <w:outlineLvl w:val="0"/>
        <w:rPr>
          <w:rFonts w:ascii="Times New Roman" w:hAnsi="Times New Roman" w:cs="Times New Roman"/>
          <w:sz w:val="24"/>
        </w:rPr>
      </w:pPr>
    </w:p>
    <w:p w14:paraId="4483C013" w14:textId="7AC37E1D" w:rsidR="00B277F2" w:rsidRPr="005A7BF7" w:rsidRDefault="008D678D" w:rsidP="008D678D">
      <w:pPr>
        <w:pStyle w:val="BodyTextIndent2"/>
        <w:rPr>
          <w:rFonts w:ascii="Times New Roman" w:hAnsi="Times New Roman" w:cs="Times New Roman"/>
          <w:sz w:val="24"/>
        </w:rPr>
      </w:pPr>
      <w:r w:rsidRPr="005A7BF7">
        <w:rPr>
          <w:rFonts w:ascii="Times New Roman" w:hAnsi="Times New Roman" w:cs="Times New Roman"/>
          <w:sz w:val="24"/>
        </w:rPr>
        <w:t>1.</w:t>
      </w:r>
      <w:r w:rsidRPr="005A7BF7">
        <w:rPr>
          <w:rFonts w:ascii="Times New Roman" w:hAnsi="Times New Roman" w:cs="Times New Roman"/>
          <w:sz w:val="24"/>
        </w:rPr>
        <w:tab/>
      </w:r>
      <w:r w:rsidR="000D5DCD" w:rsidRPr="005A7BF7">
        <w:rPr>
          <w:rFonts w:ascii="Times New Roman" w:hAnsi="Times New Roman" w:cs="Times New Roman"/>
          <w:sz w:val="24"/>
        </w:rPr>
        <w:t>That</w:t>
      </w:r>
      <w:r w:rsidR="000C1874" w:rsidRPr="005A7BF7">
        <w:rPr>
          <w:rFonts w:ascii="Times New Roman" w:hAnsi="Times New Roman" w:cs="Times New Roman"/>
          <w:sz w:val="24"/>
        </w:rPr>
        <w:t>, to the extent required by</w:t>
      </w:r>
      <w:r w:rsidR="00296FBF" w:rsidRPr="005A7BF7">
        <w:rPr>
          <w:rFonts w:ascii="Times New Roman" w:hAnsi="Times New Roman" w:cs="Times New Roman"/>
          <w:sz w:val="24"/>
        </w:rPr>
        <w:t xml:space="preserve"> 26 </w:t>
      </w:r>
      <w:r w:rsidR="00296FBF" w:rsidRPr="005A7BF7">
        <w:rPr>
          <w:rFonts w:ascii="Times New Roman" w:hAnsi="Times New Roman" w:cs="Times New Roman"/>
          <w:i/>
          <w:sz w:val="24"/>
        </w:rPr>
        <w:t xml:space="preserve">Del. </w:t>
      </w:r>
      <w:r w:rsidR="00296FBF" w:rsidRPr="005A7BF7">
        <w:rPr>
          <w:rFonts w:ascii="Times New Roman" w:hAnsi="Times New Roman" w:cs="Times New Roman"/>
          <w:sz w:val="24"/>
        </w:rPr>
        <w:t>C. §</w:t>
      </w:r>
      <w:r w:rsidR="005A7BF7" w:rsidRPr="005A7BF7">
        <w:rPr>
          <w:rFonts w:ascii="Times New Roman" w:hAnsi="Times New Roman" w:cs="Times New Roman"/>
          <w:sz w:val="24"/>
        </w:rPr>
        <w:t>§</w:t>
      </w:r>
      <w:r w:rsidR="00533BBF" w:rsidRPr="005A7BF7">
        <w:rPr>
          <w:rFonts w:ascii="Times New Roman" w:hAnsi="Times New Roman" w:cs="Times New Roman"/>
          <w:sz w:val="24"/>
        </w:rPr>
        <w:t xml:space="preserve"> </w:t>
      </w:r>
      <w:r w:rsidR="00296FBF" w:rsidRPr="005A7BF7">
        <w:rPr>
          <w:rFonts w:ascii="Times New Roman" w:hAnsi="Times New Roman" w:cs="Times New Roman"/>
          <w:sz w:val="24"/>
        </w:rPr>
        <w:t>215</w:t>
      </w:r>
      <w:r w:rsidR="005A7BF7" w:rsidRPr="005A7BF7">
        <w:rPr>
          <w:rFonts w:ascii="Times New Roman" w:hAnsi="Times New Roman" w:cs="Times New Roman"/>
          <w:sz w:val="24"/>
        </w:rPr>
        <w:t xml:space="preserve">(a)(1) and </w:t>
      </w:r>
      <w:r w:rsidR="00296FBF" w:rsidRPr="005A7BF7">
        <w:rPr>
          <w:rFonts w:ascii="Times New Roman" w:hAnsi="Times New Roman" w:cs="Times New Roman"/>
          <w:sz w:val="24"/>
        </w:rPr>
        <w:t xml:space="preserve">(d), </w:t>
      </w:r>
      <w:r w:rsidR="00F35CD1" w:rsidRPr="005A7BF7">
        <w:rPr>
          <w:rFonts w:ascii="Times New Roman" w:hAnsi="Times New Roman" w:cs="Times New Roman"/>
          <w:sz w:val="24"/>
        </w:rPr>
        <w:t>the Commission hereby approves</w:t>
      </w:r>
      <w:r w:rsidR="00296FBF" w:rsidRPr="005A7BF7">
        <w:rPr>
          <w:rFonts w:ascii="Times New Roman" w:hAnsi="Times New Roman" w:cs="Times New Roman"/>
          <w:sz w:val="24"/>
        </w:rPr>
        <w:t xml:space="preserve"> the </w:t>
      </w:r>
      <w:r w:rsidR="00423173" w:rsidRPr="005A7BF7">
        <w:rPr>
          <w:rFonts w:ascii="Times New Roman" w:hAnsi="Times New Roman" w:cs="Times New Roman"/>
          <w:sz w:val="24"/>
        </w:rPr>
        <w:t xml:space="preserve">transfer of </w:t>
      </w:r>
      <w:r w:rsidR="005A7BF7" w:rsidRPr="00F84A19">
        <w:rPr>
          <w:rFonts w:ascii="Times New Roman" w:hAnsi="Times New Roman"/>
          <w:sz w:val="24"/>
        </w:rPr>
        <w:t>Veolia Water Delaware, Inc.</w:t>
      </w:r>
      <w:r w:rsidR="00F84A19">
        <w:rPr>
          <w:rFonts w:ascii="Times New Roman" w:hAnsi="Times New Roman"/>
          <w:sz w:val="24"/>
        </w:rPr>
        <w:t>’</w:t>
      </w:r>
      <w:r w:rsidR="005A7BF7" w:rsidRPr="00F84A19">
        <w:rPr>
          <w:rFonts w:ascii="Times New Roman" w:hAnsi="Times New Roman"/>
          <w:sz w:val="24"/>
        </w:rPr>
        <w:t>s</w:t>
      </w:r>
      <w:r w:rsidR="005A7BF7" w:rsidRPr="005A7BF7" w:rsidDel="005A7BF7">
        <w:rPr>
          <w:rFonts w:ascii="Times New Roman" w:hAnsi="Times New Roman" w:cs="Times New Roman"/>
          <w:sz w:val="24"/>
        </w:rPr>
        <w:t xml:space="preserve"> </w:t>
      </w:r>
      <w:r w:rsidR="00423173" w:rsidRPr="005A7BF7">
        <w:rPr>
          <w:rFonts w:ascii="Times New Roman" w:hAnsi="Times New Roman" w:cs="Times New Roman"/>
          <w:sz w:val="24"/>
        </w:rPr>
        <w:t>rights under its CPCN</w:t>
      </w:r>
      <w:r w:rsidR="00F260D8">
        <w:rPr>
          <w:rFonts w:ascii="Times New Roman" w:hAnsi="Times New Roman" w:cs="Times New Roman"/>
          <w:sz w:val="24"/>
        </w:rPr>
        <w:t>s</w:t>
      </w:r>
      <w:r w:rsidR="00423173" w:rsidRPr="005A7BF7">
        <w:rPr>
          <w:rFonts w:ascii="Times New Roman" w:hAnsi="Times New Roman" w:cs="Times New Roman"/>
          <w:sz w:val="24"/>
        </w:rPr>
        <w:t xml:space="preserve"> to serve the Property and the Properties to the City of Newark.</w:t>
      </w:r>
      <w:r w:rsidR="009F7591" w:rsidRPr="005A7BF7">
        <w:rPr>
          <w:rFonts w:ascii="Times New Roman" w:hAnsi="Times New Roman" w:cs="Times New Roman"/>
          <w:sz w:val="24"/>
        </w:rPr>
        <w:t xml:space="preserve"> </w:t>
      </w:r>
      <w:r w:rsidR="00F35CD1" w:rsidRPr="005A7BF7">
        <w:rPr>
          <w:rFonts w:ascii="Times New Roman" w:hAnsi="Times New Roman" w:cs="Times New Roman"/>
          <w:sz w:val="24"/>
        </w:rPr>
        <w:t xml:space="preserve"> </w:t>
      </w:r>
      <w:r w:rsidR="005A5FDB" w:rsidRPr="005A7BF7">
        <w:rPr>
          <w:rFonts w:ascii="Times New Roman" w:hAnsi="Times New Roman" w:cs="Times New Roman"/>
          <w:sz w:val="24"/>
        </w:rPr>
        <w:t>A listing of t</w:t>
      </w:r>
      <w:r w:rsidR="009F7591" w:rsidRPr="005A7BF7">
        <w:rPr>
          <w:rFonts w:ascii="Times New Roman" w:hAnsi="Times New Roman" w:cs="Times New Roman"/>
          <w:sz w:val="24"/>
        </w:rPr>
        <w:t>h</w:t>
      </w:r>
      <w:r w:rsidR="00967A7D" w:rsidRPr="005A7BF7">
        <w:rPr>
          <w:rFonts w:ascii="Times New Roman" w:hAnsi="Times New Roman" w:cs="Times New Roman"/>
          <w:sz w:val="24"/>
        </w:rPr>
        <w:t>e</w:t>
      </w:r>
      <w:r w:rsidR="009F7591" w:rsidRPr="005A7BF7">
        <w:rPr>
          <w:rFonts w:ascii="Times New Roman" w:hAnsi="Times New Roman" w:cs="Times New Roman"/>
          <w:sz w:val="24"/>
        </w:rPr>
        <w:t xml:space="preserve"> </w:t>
      </w:r>
      <w:r w:rsidR="00852E63" w:rsidRPr="005A7BF7">
        <w:rPr>
          <w:rFonts w:ascii="Times New Roman" w:hAnsi="Times New Roman" w:cs="Times New Roman"/>
          <w:sz w:val="24"/>
        </w:rPr>
        <w:t xml:space="preserve">tax parcel numbers that comprise the </w:t>
      </w:r>
      <w:r w:rsidR="00CA42F7" w:rsidRPr="005A7BF7">
        <w:rPr>
          <w:rFonts w:ascii="Times New Roman" w:hAnsi="Times New Roman" w:cs="Times New Roman"/>
          <w:sz w:val="24"/>
        </w:rPr>
        <w:t xml:space="preserve">transferred </w:t>
      </w:r>
      <w:r w:rsidR="009F7591" w:rsidRPr="005A7BF7">
        <w:rPr>
          <w:rFonts w:ascii="Times New Roman" w:hAnsi="Times New Roman" w:cs="Times New Roman"/>
          <w:sz w:val="24"/>
        </w:rPr>
        <w:t xml:space="preserve">service territory </w:t>
      </w:r>
      <w:r w:rsidR="005A5FDB" w:rsidRPr="005A7BF7">
        <w:rPr>
          <w:rFonts w:ascii="Times New Roman" w:hAnsi="Times New Roman" w:cs="Times New Roman"/>
          <w:sz w:val="24"/>
        </w:rPr>
        <w:t>is</w:t>
      </w:r>
      <w:r w:rsidR="009F7591" w:rsidRPr="005A7BF7">
        <w:rPr>
          <w:rFonts w:ascii="Times New Roman" w:hAnsi="Times New Roman" w:cs="Times New Roman"/>
          <w:sz w:val="24"/>
        </w:rPr>
        <w:t xml:space="preserve"> attached as </w:t>
      </w:r>
      <w:r w:rsidR="009F7591" w:rsidRPr="005A7BF7">
        <w:rPr>
          <w:rFonts w:ascii="Times New Roman" w:hAnsi="Times New Roman" w:cs="Times New Roman"/>
          <w:b/>
          <w:sz w:val="24"/>
          <w:u w:val="single"/>
        </w:rPr>
        <w:t>Exhibit “</w:t>
      </w:r>
      <w:r w:rsidR="00D0733E" w:rsidRPr="005A7BF7">
        <w:rPr>
          <w:rFonts w:ascii="Times New Roman" w:hAnsi="Times New Roman" w:cs="Times New Roman"/>
          <w:b/>
          <w:sz w:val="24"/>
          <w:u w:val="single"/>
        </w:rPr>
        <w:t>A</w:t>
      </w:r>
      <w:r w:rsidR="009F7591" w:rsidRPr="005A7BF7">
        <w:rPr>
          <w:rFonts w:ascii="Times New Roman" w:hAnsi="Times New Roman" w:cs="Times New Roman"/>
          <w:b/>
          <w:sz w:val="24"/>
          <w:u w:val="single"/>
        </w:rPr>
        <w:t>.</w:t>
      </w:r>
      <w:r w:rsidR="009F7591" w:rsidRPr="00BB7A8C">
        <w:rPr>
          <w:rFonts w:ascii="Times New Roman" w:hAnsi="Times New Roman" w:cs="Times New Roman"/>
          <w:b/>
          <w:sz w:val="24"/>
        </w:rPr>
        <w:t>”</w:t>
      </w:r>
    </w:p>
    <w:p w14:paraId="768B46BA" w14:textId="7FA07B1B" w:rsidR="00967A7D" w:rsidRPr="00D53D91" w:rsidRDefault="00D779A8" w:rsidP="00B32E89">
      <w:pPr>
        <w:pStyle w:val="BodyTextIndent2"/>
        <w:rPr>
          <w:rFonts w:ascii="Times New Roman" w:hAnsi="Times New Roman" w:cs="Times New Roman"/>
          <w:sz w:val="24"/>
        </w:rPr>
      </w:pPr>
      <w:r w:rsidRPr="00D53D91">
        <w:rPr>
          <w:rFonts w:ascii="Times New Roman" w:hAnsi="Times New Roman" w:cs="Times New Roman"/>
          <w:sz w:val="24"/>
        </w:rPr>
        <w:t>2</w:t>
      </w:r>
      <w:r w:rsidR="008D678D" w:rsidRPr="00D53D91">
        <w:rPr>
          <w:rFonts w:ascii="Times New Roman" w:hAnsi="Times New Roman" w:cs="Times New Roman"/>
          <w:sz w:val="24"/>
        </w:rPr>
        <w:t>.</w:t>
      </w:r>
      <w:r w:rsidRPr="00D53D91">
        <w:rPr>
          <w:rFonts w:ascii="Times New Roman" w:hAnsi="Times New Roman" w:cs="Times New Roman"/>
          <w:sz w:val="24"/>
        </w:rPr>
        <w:tab/>
        <w:t xml:space="preserve">That the </w:t>
      </w:r>
      <w:r w:rsidR="00B32E89" w:rsidRPr="00D53D91">
        <w:rPr>
          <w:rFonts w:ascii="Times New Roman" w:hAnsi="Times New Roman" w:cs="Times New Roman"/>
          <w:sz w:val="24"/>
        </w:rPr>
        <w:t xml:space="preserve">associated </w:t>
      </w:r>
      <w:r w:rsidR="005A7BF7">
        <w:rPr>
          <w:rFonts w:ascii="Times New Roman" w:hAnsi="Times New Roman" w:cs="Times New Roman"/>
          <w:sz w:val="24"/>
        </w:rPr>
        <w:t xml:space="preserve">official Commission </w:t>
      </w:r>
      <w:r w:rsidR="00B32E89" w:rsidRPr="00D53D91">
        <w:rPr>
          <w:rFonts w:ascii="Times New Roman" w:hAnsi="Times New Roman" w:cs="Times New Roman"/>
          <w:sz w:val="24"/>
        </w:rPr>
        <w:t>service maps be revised accordingly</w:t>
      </w:r>
      <w:r w:rsidRPr="00D53D91">
        <w:rPr>
          <w:rFonts w:ascii="Times New Roman" w:hAnsi="Times New Roman" w:cs="Times New Roman"/>
          <w:sz w:val="24"/>
        </w:rPr>
        <w:t>.</w:t>
      </w:r>
    </w:p>
    <w:p w14:paraId="15244D11" w14:textId="0C0D26C8" w:rsidR="008D678D" w:rsidRPr="00D53D91" w:rsidRDefault="00B32E89" w:rsidP="008D678D">
      <w:pPr>
        <w:pStyle w:val="BodyTextIndent2"/>
        <w:rPr>
          <w:rFonts w:ascii="Times New Roman" w:hAnsi="Times New Roman" w:cs="Times New Roman"/>
          <w:sz w:val="24"/>
        </w:rPr>
      </w:pPr>
      <w:r w:rsidRPr="00D53D91">
        <w:rPr>
          <w:rFonts w:ascii="Times New Roman" w:hAnsi="Times New Roman" w:cs="Times New Roman"/>
          <w:sz w:val="24"/>
        </w:rPr>
        <w:t>3</w:t>
      </w:r>
      <w:r w:rsidR="00967A7D" w:rsidRPr="00D53D91">
        <w:rPr>
          <w:rFonts w:ascii="Times New Roman" w:hAnsi="Times New Roman" w:cs="Times New Roman"/>
          <w:sz w:val="24"/>
        </w:rPr>
        <w:t>.</w:t>
      </w:r>
      <w:r w:rsidR="00967A7D" w:rsidRPr="00D53D91">
        <w:rPr>
          <w:rFonts w:ascii="Times New Roman" w:hAnsi="Times New Roman" w:cs="Times New Roman"/>
          <w:sz w:val="24"/>
        </w:rPr>
        <w:tab/>
        <w:t xml:space="preserve">That </w:t>
      </w:r>
      <w:r w:rsidRPr="00D53D91">
        <w:rPr>
          <w:rFonts w:ascii="Times New Roman" w:hAnsi="Times New Roman" w:cs="Times New Roman"/>
          <w:sz w:val="24"/>
        </w:rPr>
        <w:t>the Applicants</w:t>
      </w:r>
      <w:r w:rsidR="00967A7D" w:rsidRPr="00D53D91">
        <w:rPr>
          <w:rFonts w:ascii="Times New Roman" w:hAnsi="Times New Roman" w:cs="Times New Roman"/>
          <w:sz w:val="24"/>
        </w:rPr>
        <w:t xml:space="preserve"> shall </w:t>
      </w:r>
      <w:r w:rsidR="008D678D" w:rsidRPr="00D53D91">
        <w:rPr>
          <w:rFonts w:ascii="Times New Roman" w:hAnsi="Times New Roman" w:cs="Times New Roman"/>
          <w:sz w:val="24"/>
        </w:rPr>
        <w:t>comply with any and all federal, state, county, and local statutes, ordinances, orders, regulations, rules, and permit conditions that are applicable, or may become applicable, to any matter involving water utility services provided to the service territory.</w:t>
      </w:r>
    </w:p>
    <w:p w14:paraId="45DA1096" w14:textId="6C7C0D25" w:rsidR="008D678D" w:rsidRPr="00D53D91" w:rsidRDefault="004D1131" w:rsidP="00852E63">
      <w:pPr>
        <w:pStyle w:val="BodyTextIndent2"/>
        <w:rPr>
          <w:rFonts w:ascii="Times New Roman" w:hAnsi="Times New Roman" w:cs="Times New Roman"/>
          <w:sz w:val="24"/>
        </w:rPr>
      </w:pPr>
      <w:r>
        <w:rPr>
          <w:rFonts w:ascii="Times New Roman" w:hAnsi="Times New Roman" w:cs="Times New Roman"/>
          <w:sz w:val="24"/>
        </w:rPr>
        <w:t>4</w:t>
      </w:r>
      <w:r w:rsidR="008D678D" w:rsidRPr="00D53D91">
        <w:rPr>
          <w:rFonts w:ascii="Times New Roman" w:hAnsi="Times New Roman" w:cs="Times New Roman"/>
          <w:sz w:val="24"/>
        </w:rPr>
        <w:t>.</w:t>
      </w:r>
      <w:r w:rsidR="008D678D" w:rsidRPr="00D53D91">
        <w:rPr>
          <w:rFonts w:ascii="Times New Roman" w:hAnsi="Times New Roman" w:cs="Times New Roman"/>
          <w:sz w:val="24"/>
        </w:rPr>
        <w:tab/>
        <w:t>The Commission reserves the jurisdiction and authority</w:t>
      </w:r>
      <w:r w:rsidR="00227BDB" w:rsidRPr="00D53D91">
        <w:rPr>
          <w:rFonts w:ascii="Times New Roman" w:hAnsi="Times New Roman" w:cs="Times New Roman"/>
          <w:sz w:val="24"/>
        </w:rPr>
        <w:t xml:space="preserve"> </w:t>
      </w:r>
      <w:r w:rsidR="008D678D" w:rsidRPr="00D53D91">
        <w:rPr>
          <w:rFonts w:ascii="Times New Roman" w:hAnsi="Times New Roman" w:cs="Times New Roman"/>
          <w:sz w:val="24"/>
        </w:rPr>
        <w:t>to enter such further orders in this matter as may be deemed necessary or proper.</w:t>
      </w:r>
      <w:r w:rsidR="00BB7A8C">
        <w:rPr>
          <w:rFonts w:ascii="Times New Roman" w:hAnsi="Times New Roman" w:cs="Times New Roman"/>
          <w:sz w:val="24"/>
        </w:rPr>
        <w:t xml:space="preserve"> </w:t>
      </w:r>
    </w:p>
    <w:p w14:paraId="5180FB33" w14:textId="03FA039C" w:rsidR="00B32E89" w:rsidRPr="00D53D91" w:rsidRDefault="00B32E89" w:rsidP="00B32E89">
      <w:pPr>
        <w:ind w:left="3600" w:firstLine="720"/>
        <w:outlineLvl w:val="0"/>
        <w:rPr>
          <w:rFonts w:ascii="Times New Roman" w:hAnsi="Times New Roman"/>
          <w:b/>
        </w:rPr>
      </w:pPr>
      <w:r w:rsidRPr="00D53D91">
        <w:rPr>
          <w:rFonts w:ascii="Times New Roman" w:hAnsi="Times New Roman"/>
          <w:b/>
        </w:rPr>
        <w:t>BY ORDER OF THE COMMISSION:</w:t>
      </w:r>
    </w:p>
    <w:p w14:paraId="5C31A2E0" w14:textId="77777777" w:rsidR="00B32E89" w:rsidRPr="00D53D91" w:rsidRDefault="00B32E89" w:rsidP="00B32E89">
      <w:pPr>
        <w:rPr>
          <w:rFonts w:ascii="Times New Roman" w:hAnsi="Times New Roman"/>
        </w:rPr>
      </w:pPr>
    </w:p>
    <w:p w14:paraId="467428FC" w14:textId="77777777" w:rsidR="00B32E89" w:rsidRPr="00D53D91" w:rsidRDefault="00B32E89" w:rsidP="00B32E89">
      <w:pPr>
        <w:rPr>
          <w:rFonts w:ascii="Times New Roman" w:hAnsi="Times New Roman"/>
        </w:rPr>
      </w:pPr>
    </w:p>
    <w:p w14:paraId="7155321F" w14:textId="77777777" w:rsidR="00B32E89" w:rsidRPr="00D53D91" w:rsidRDefault="00B32E89" w:rsidP="00B32E89">
      <w:pPr>
        <w:rPr>
          <w:rFonts w:ascii="Times New Roman" w:hAnsi="Times New Roman"/>
          <w:u w:val="single"/>
        </w:rPr>
      </w:pP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p>
    <w:p w14:paraId="6C70C2A6" w14:textId="77777777" w:rsidR="00B32E89" w:rsidRPr="00D53D91" w:rsidRDefault="00B32E89" w:rsidP="00B32E89">
      <w:pPr>
        <w:ind w:left="3600" w:firstLine="720"/>
        <w:jc w:val="both"/>
        <w:rPr>
          <w:rFonts w:ascii="Times New Roman" w:eastAsiaTheme="minorHAnsi" w:hAnsi="Times New Roman" w:cstheme="minorBidi"/>
        </w:rPr>
      </w:pPr>
      <w:r w:rsidRPr="00D53D91">
        <w:rPr>
          <w:rFonts w:ascii="Times New Roman" w:eastAsiaTheme="minorHAnsi" w:hAnsi="Times New Roman" w:cstheme="minorBidi"/>
        </w:rPr>
        <w:t>Dallas Winslow, Chairman</w:t>
      </w:r>
    </w:p>
    <w:p w14:paraId="37529114" w14:textId="77777777" w:rsidR="00B32E89" w:rsidRPr="00D53D91" w:rsidRDefault="00B32E89" w:rsidP="00B32E89">
      <w:pPr>
        <w:rPr>
          <w:rFonts w:ascii="Times New Roman" w:hAnsi="Times New Roman"/>
        </w:rPr>
      </w:pPr>
    </w:p>
    <w:p w14:paraId="75948E1E" w14:textId="77777777" w:rsidR="00B32E89" w:rsidRPr="00D53D91" w:rsidRDefault="00B32E89" w:rsidP="00B32E89">
      <w:pPr>
        <w:rPr>
          <w:rFonts w:ascii="Times New Roman" w:hAnsi="Times New Roman"/>
        </w:rPr>
      </w:pPr>
    </w:p>
    <w:p w14:paraId="5F1D1DA4" w14:textId="77777777" w:rsidR="00B32E89" w:rsidRPr="00D53D91" w:rsidRDefault="00B32E89" w:rsidP="00B32E89">
      <w:pPr>
        <w:rPr>
          <w:rFonts w:ascii="Times New Roman" w:hAnsi="Times New Roman"/>
          <w:u w:val="single"/>
        </w:rPr>
      </w:pP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p>
    <w:p w14:paraId="7B070972" w14:textId="7C2A99E8" w:rsidR="00B32E89" w:rsidRPr="00D53D91" w:rsidRDefault="00B32E89" w:rsidP="00B32E89">
      <w:pPr>
        <w:ind w:left="3600" w:firstLine="720"/>
        <w:jc w:val="both"/>
        <w:rPr>
          <w:rFonts w:ascii="Times New Roman" w:eastAsiaTheme="minorHAnsi" w:hAnsi="Times New Roman" w:cstheme="minorBidi"/>
        </w:rPr>
      </w:pPr>
      <w:r w:rsidRPr="00D53D91">
        <w:rPr>
          <w:rFonts w:ascii="Times New Roman" w:eastAsiaTheme="minorHAnsi" w:hAnsi="Times New Roman" w:cstheme="minorBidi"/>
        </w:rPr>
        <w:t>Joann Conaway, Commissioner</w:t>
      </w:r>
    </w:p>
    <w:p w14:paraId="6CEB161D" w14:textId="77777777" w:rsidR="00B32E89" w:rsidRPr="00D53D91" w:rsidRDefault="00B32E89" w:rsidP="00B32E89">
      <w:pPr>
        <w:ind w:left="4320" w:firstLine="720"/>
        <w:jc w:val="both"/>
        <w:rPr>
          <w:rFonts w:ascii="Times New Roman" w:hAnsi="Times New Roman"/>
        </w:rPr>
      </w:pPr>
    </w:p>
    <w:p w14:paraId="11BC3732" w14:textId="77777777" w:rsidR="00B32E89" w:rsidRPr="00D53D91" w:rsidRDefault="00B32E89" w:rsidP="00B32E89">
      <w:pPr>
        <w:ind w:left="4320" w:firstLine="720"/>
        <w:jc w:val="both"/>
        <w:rPr>
          <w:rFonts w:ascii="Times New Roman" w:hAnsi="Times New Roman"/>
        </w:rPr>
      </w:pP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p>
    <w:p w14:paraId="7C9E38ED" w14:textId="77777777" w:rsidR="00B32E89" w:rsidRPr="00D53D91" w:rsidRDefault="00B32E89" w:rsidP="00B32E89">
      <w:pPr>
        <w:jc w:val="both"/>
        <w:rPr>
          <w:rFonts w:ascii="Times New Roman" w:hAnsi="Times New Roman"/>
        </w:rPr>
      </w:pP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p>
    <w:p w14:paraId="5CFACC0A" w14:textId="38F8FEA8" w:rsidR="00B32E89" w:rsidRPr="00D53D91" w:rsidRDefault="00B32E89" w:rsidP="00B32E89">
      <w:pPr>
        <w:ind w:left="3600" w:firstLine="720"/>
        <w:jc w:val="both"/>
        <w:rPr>
          <w:rFonts w:ascii="Times New Roman" w:eastAsiaTheme="minorHAnsi" w:hAnsi="Times New Roman" w:cstheme="minorBidi"/>
        </w:rPr>
      </w:pPr>
      <w:r w:rsidRPr="00D53D91">
        <w:rPr>
          <w:rFonts w:ascii="Times New Roman" w:eastAsiaTheme="minorHAnsi" w:hAnsi="Times New Roman" w:cstheme="minorBidi"/>
        </w:rPr>
        <w:t xml:space="preserve">Harold </w:t>
      </w:r>
      <w:r w:rsidR="00EE51FE">
        <w:rPr>
          <w:rFonts w:ascii="Times New Roman" w:eastAsiaTheme="minorHAnsi" w:hAnsi="Times New Roman" w:cstheme="minorBidi"/>
        </w:rPr>
        <w:t xml:space="preserve">B. </w:t>
      </w:r>
      <w:r w:rsidRPr="00D53D91">
        <w:rPr>
          <w:rFonts w:ascii="Times New Roman" w:eastAsiaTheme="minorHAnsi" w:hAnsi="Times New Roman" w:cstheme="minorBidi"/>
        </w:rPr>
        <w:t>Gray, Commissioner</w:t>
      </w:r>
    </w:p>
    <w:p w14:paraId="70395BCC" w14:textId="77777777" w:rsidR="00B32E89" w:rsidRPr="00D53D91" w:rsidRDefault="00B32E89" w:rsidP="00B32E89">
      <w:pPr>
        <w:rPr>
          <w:rFonts w:ascii="Times New Roman" w:hAnsi="Times New Roman"/>
        </w:rPr>
      </w:pPr>
    </w:p>
    <w:p w14:paraId="638388E2" w14:textId="77777777" w:rsidR="00B32E89" w:rsidRPr="00D53D91" w:rsidRDefault="00B32E89" w:rsidP="00B32E89">
      <w:pPr>
        <w:rPr>
          <w:rFonts w:ascii="Times New Roman" w:hAnsi="Times New Roman"/>
        </w:rPr>
      </w:pPr>
    </w:p>
    <w:p w14:paraId="482735F8" w14:textId="77777777" w:rsidR="00B32E89" w:rsidRPr="00D53D91" w:rsidRDefault="00B32E89" w:rsidP="00B32E89">
      <w:pPr>
        <w:rPr>
          <w:rFonts w:ascii="Times New Roman" w:hAnsi="Times New Roman"/>
        </w:rPr>
      </w:pP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r w:rsidRPr="00D53D91">
        <w:rPr>
          <w:rFonts w:ascii="Times New Roman" w:hAnsi="Times New Roman"/>
          <w:u w:val="single"/>
        </w:rPr>
        <w:tab/>
      </w:r>
    </w:p>
    <w:p w14:paraId="234E4C34" w14:textId="363C235B" w:rsidR="00B32E89" w:rsidRPr="00D53D91" w:rsidRDefault="00B32E89" w:rsidP="00B32E89">
      <w:pPr>
        <w:ind w:left="3600" w:firstLine="720"/>
        <w:jc w:val="both"/>
        <w:rPr>
          <w:rFonts w:ascii="Times New Roman" w:eastAsiaTheme="minorHAnsi" w:hAnsi="Times New Roman" w:cstheme="minorBidi"/>
        </w:rPr>
      </w:pPr>
      <w:r w:rsidRPr="00D53D91">
        <w:rPr>
          <w:rFonts w:ascii="Times New Roman" w:eastAsiaTheme="minorHAnsi" w:hAnsi="Times New Roman" w:cstheme="minorBidi"/>
        </w:rPr>
        <w:t>Manubhai  Karia, Commissioner</w:t>
      </w:r>
    </w:p>
    <w:p w14:paraId="392C3EEC" w14:textId="77777777" w:rsidR="00B32E89" w:rsidRPr="00D53D91" w:rsidRDefault="00B32E89" w:rsidP="00B32E89">
      <w:pPr>
        <w:pStyle w:val="BodyTextIndent"/>
        <w:spacing w:line="240" w:lineRule="auto"/>
        <w:ind w:firstLine="0"/>
        <w:rPr>
          <w:rFonts w:ascii="Times New Roman" w:hAnsi="Times New Roman"/>
          <w:sz w:val="24"/>
          <w:szCs w:val="24"/>
        </w:rPr>
      </w:pPr>
    </w:p>
    <w:p w14:paraId="7176AFEF" w14:textId="77777777" w:rsidR="00B32E89" w:rsidRPr="00D53D91" w:rsidRDefault="00B32E89" w:rsidP="00B32E89">
      <w:pPr>
        <w:pStyle w:val="BodyTextIndent"/>
        <w:spacing w:line="240" w:lineRule="auto"/>
        <w:ind w:firstLine="0"/>
        <w:rPr>
          <w:rFonts w:ascii="Times New Roman" w:hAnsi="Times New Roman"/>
          <w:sz w:val="24"/>
          <w:szCs w:val="24"/>
        </w:rPr>
      </w:pPr>
    </w:p>
    <w:p w14:paraId="7148599C" w14:textId="77777777" w:rsidR="00B32E89" w:rsidRPr="00D53D91" w:rsidRDefault="00B32E89" w:rsidP="00B32E89">
      <w:pPr>
        <w:pStyle w:val="BodyTextIndent"/>
        <w:spacing w:line="240" w:lineRule="auto"/>
        <w:ind w:firstLine="0"/>
        <w:rPr>
          <w:rFonts w:ascii="Times New Roman" w:hAnsi="Times New Roman"/>
          <w:sz w:val="24"/>
          <w:szCs w:val="24"/>
        </w:rPr>
      </w:pPr>
      <w:r w:rsidRPr="00D53D91">
        <w:rPr>
          <w:rFonts w:ascii="Times New Roman" w:hAnsi="Times New Roman"/>
          <w:sz w:val="24"/>
          <w:szCs w:val="24"/>
        </w:rPr>
        <w:tab/>
      </w:r>
      <w:r w:rsidRPr="00D53D91">
        <w:rPr>
          <w:rFonts w:ascii="Times New Roman" w:hAnsi="Times New Roman"/>
          <w:sz w:val="24"/>
          <w:szCs w:val="24"/>
        </w:rPr>
        <w:tab/>
      </w:r>
      <w:r w:rsidRPr="00D53D91">
        <w:rPr>
          <w:rFonts w:ascii="Times New Roman" w:hAnsi="Times New Roman"/>
          <w:sz w:val="24"/>
          <w:szCs w:val="24"/>
        </w:rPr>
        <w:tab/>
      </w:r>
      <w:r w:rsidRPr="00D53D91">
        <w:rPr>
          <w:rFonts w:ascii="Times New Roman" w:hAnsi="Times New Roman"/>
          <w:sz w:val="24"/>
          <w:szCs w:val="24"/>
        </w:rPr>
        <w:tab/>
      </w:r>
      <w:r w:rsidRPr="00D53D91">
        <w:rPr>
          <w:rFonts w:ascii="Times New Roman" w:hAnsi="Times New Roman"/>
          <w:sz w:val="24"/>
          <w:szCs w:val="24"/>
        </w:rPr>
        <w:tab/>
      </w:r>
      <w:r w:rsidRPr="00D53D91">
        <w:rPr>
          <w:rFonts w:ascii="Times New Roman" w:hAnsi="Times New Roman"/>
          <w:sz w:val="24"/>
          <w:szCs w:val="24"/>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p>
    <w:p w14:paraId="7FA2A430" w14:textId="3BC9745B" w:rsidR="00B32E89" w:rsidRPr="00D53D91" w:rsidRDefault="00B32E89" w:rsidP="00B32E89">
      <w:pPr>
        <w:ind w:left="3600" w:firstLine="720"/>
        <w:rPr>
          <w:rFonts w:ascii="Times New Roman" w:eastAsiaTheme="minorHAnsi" w:hAnsi="Times New Roman" w:cstheme="minorBidi"/>
          <w:color w:val="222222"/>
        </w:rPr>
      </w:pPr>
      <w:r w:rsidRPr="00D53D91">
        <w:rPr>
          <w:rFonts w:ascii="Times New Roman" w:eastAsiaTheme="minorHAnsi" w:hAnsi="Times New Roman" w:cstheme="minorBidi"/>
          <w:color w:val="222222"/>
        </w:rPr>
        <w:t>K</w:t>
      </w:r>
      <w:r w:rsidR="00EE51FE">
        <w:rPr>
          <w:rFonts w:ascii="Times New Roman" w:eastAsiaTheme="minorHAnsi" w:hAnsi="Times New Roman" w:cstheme="minorBidi"/>
          <w:color w:val="222222"/>
        </w:rPr>
        <w:t xml:space="preserve">. </w:t>
      </w:r>
      <w:r w:rsidRPr="00D53D91">
        <w:rPr>
          <w:rFonts w:ascii="Times New Roman" w:eastAsiaTheme="minorHAnsi" w:hAnsi="Times New Roman" w:cstheme="minorBidi"/>
          <w:color w:val="222222"/>
        </w:rPr>
        <w:t>F. Drexler, Commissioner</w:t>
      </w:r>
    </w:p>
    <w:p w14:paraId="1614FB80" w14:textId="186F50F7" w:rsidR="00B32E89" w:rsidRDefault="00B32E89" w:rsidP="00B32E89">
      <w:pPr>
        <w:pStyle w:val="BodyTextIndent"/>
        <w:spacing w:line="240" w:lineRule="auto"/>
        <w:ind w:firstLine="0"/>
        <w:rPr>
          <w:rFonts w:ascii="Times New Roman" w:hAnsi="Times New Roman"/>
          <w:sz w:val="24"/>
          <w:szCs w:val="24"/>
        </w:rPr>
      </w:pPr>
    </w:p>
    <w:p w14:paraId="0181D526" w14:textId="77777777" w:rsidR="00440B69" w:rsidRPr="00D53D91" w:rsidRDefault="00440B69" w:rsidP="00B32E89">
      <w:pPr>
        <w:pStyle w:val="BodyTextIndent"/>
        <w:spacing w:line="240" w:lineRule="auto"/>
        <w:ind w:firstLine="0"/>
        <w:rPr>
          <w:rFonts w:ascii="Times New Roman" w:hAnsi="Times New Roman"/>
          <w:sz w:val="24"/>
          <w:szCs w:val="24"/>
        </w:rPr>
      </w:pPr>
    </w:p>
    <w:p w14:paraId="3E0122E2" w14:textId="77777777" w:rsidR="00B32E89" w:rsidRPr="00EE51FE" w:rsidRDefault="00B32E89" w:rsidP="00B32E89">
      <w:pPr>
        <w:pStyle w:val="BodyTextIndent"/>
        <w:spacing w:line="240" w:lineRule="auto"/>
        <w:ind w:firstLine="0"/>
        <w:rPr>
          <w:rFonts w:ascii="Times New Roman" w:hAnsi="Times New Roman"/>
          <w:b/>
          <w:bCs/>
          <w:sz w:val="24"/>
          <w:szCs w:val="24"/>
        </w:rPr>
      </w:pPr>
      <w:r w:rsidRPr="00EE51FE">
        <w:rPr>
          <w:rFonts w:ascii="Times New Roman" w:hAnsi="Times New Roman"/>
          <w:b/>
          <w:bCs/>
          <w:sz w:val="24"/>
          <w:szCs w:val="24"/>
        </w:rPr>
        <w:lastRenderedPageBreak/>
        <w:t>ATTEST:</w:t>
      </w:r>
    </w:p>
    <w:p w14:paraId="4E764F08" w14:textId="77777777" w:rsidR="00B32E89" w:rsidRPr="00D53D91" w:rsidRDefault="00B32E89" w:rsidP="00B32E89">
      <w:pPr>
        <w:pStyle w:val="BodyTextIndent"/>
        <w:spacing w:line="240" w:lineRule="auto"/>
        <w:ind w:firstLine="0"/>
        <w:rPr>
          <w:rFonts w:ascii="Times New Roman" w:hAnsi="Times New Roman"/>
          <w:sz w:val="24"/>
          <w:szCs w:val="24"/>
          <w:u w:val="single"/>
        </w:rPr>
      </w:pPr>
    </w:p>
    <w:p w14:paraId="2BC2C0F2" w14:textId="77777777" w:rsidR="00B32E89" w:rsidRPr="00D53D91" w:rsidRDefault="00B32E89" w:rsidP="00B32E89">
      <w:pPr>
        <w:pStyle w:val="BodyTextIndent"/>
        <w:spacing w:line="240" w:lineRule="auto"/>
        <w:ind w:firstLine="0"/>
        <w:rPr>
          <w:rFonts w:ascii="Times New Roman" w:hAnsi="Times New Roman"/>
          <w:sz w:val="24"/>
          <w:szCs w:val="24"/>
        </w:rPr>
      </w:pP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r w:rsidRPr="00D53D91">
        <w:rPr>
          <w:rFonts w:ascii="Times New Roman" w:hAnsi="Times New Roman"/>
          <w:sz w:val="24"/>
          <w:szCs w:val="24"/>
          <w:u w:val="single"/>
        </w:rPr>
        <w:tab/>
      </w:r>
    </w:p>
    <w:p w14:paraId="444970E9" w14:textId="6333930D" w:rsidR="005A7BF7" w:rsidRDefault="00B32E89" w:rsidP="00F84A19">
      <w:pPr>
        <w:jc w:val="both"/>
        <w:rPr>
          <w:rFonts w:ascii="Times New Roman" w:hAnsi="Times New Roman"/>
          <w:b/>
          <w:bCs/>
          <w:caps/>
          <w:u w:val="single"/>
        </w:rPr>
      </w:pPr>
      <w:r w:rsidRPr="00D53D91">
        <w:rPr>
          <w:rFonts w:ascii="Times New Roman" w:eastAsiaTheme="minorHAnsi" w:hAnsi="Times New Roman" w:cstheme="minorBidi"/>
        </w:rPr>
        <w:t>Crystal Beenick, Secretary</w:t>
      </w:r>
    </w:p>
    <w:p w14:paraId="06E0B0AD" w14:textId="28726442" w:rsidR="00F84A19" w:rsidRDefault="00F84A19" w:rsidP="00500B3F">
      <w:pPr>
        <w:tabs>
          <w:tab w:val="left" w:pos="3418"/>
        </w:tabs>
        <w:jc w:val="center"/>
        <w:rPr>
          <w:rFonts w:ascii="Times New Roman" w:hAnsi="Times New Roman"/>
          <w:b/>
          <w:bCs/>
          <w:caps/>
          <w:u w:val="single"/>
        </w:rPr>
      </w:pPr>
    </w:p>
    <w:p w14:paraId="477D0E98" w14:textId="134E7E49" w:rsidR="00F84A19" w:rsidRDefault="00F84A19" w:rsidP="00500B3F">
      <w:pPr>
        <w:tabs>
          <w:tab w:val="left" w:pos="3418"/>
        </w:tabs>
        <w:jc w:val="center"/>
        <w:rPr>
          <w:rFonts w:ascii="Times New Roman" w:hAnsi="Times New Roman"/>
          <w:b/>
          <w:bCs/>
          <w:caps/>
          <w:u w:val="single"/>
        </w:rPr>
      </w:pPr>
    </w:p>
    <w:p w14:paraId="454F8485" w14:textId="229D3AB7" w:rsidR="00F84A19" w:rsidRDefault="00F84A19" w:rsidP="00500B3F">
      <w:pPr>
        <w:tabs>
          <w:tab w:val="left" w:pos="3418"/>
        </w:tabs>
        <w:jc w:val="center"/>
        <w:rPr>
          <w:rFonts w:ascii="Times New Roman" w:hAnsi="Times New Roman"/>
          <w:b/>
          <w:bCs/>
          <w:caps/>
          <w:u w:val="single"/>
        </w:rPr>
      </w:pPr>
    </w:p>
    <w:p w14:paraId="04E25267" w14:textId="62CD1C63" w:rsidR="00F84A19" w:rsidRDefault="00F84A19" w:rsidP="00500B3F">
      <w:pPr>
        <w:tabs>
          <w:tab w:val="left" w:pos="3418"/>
        </w:tabs>
        <w:jc w:val="center"/>
        <w:rPr>
          <w:rFonts w:ascii="Times New Roman" w:hAnsi="Times New Roman"/>
          <w:b/>
          <w:bCs/>
          <w:caps/>
          <w:u w:val="single"/>
        </w:rPr>
      </w:pPr>
    </w:p>
    <w:p w14:paraId="71C6E2D8" w14:textId="75F97359" w:rsidR="00F84A19" w:rsidRDefault="00F84A19" w:rsidP="00500B3F">
      <w:pPr>
        <w:tabs>
          <w:tab w:val="left" w:pos="3418"/>
        </w:tabs>
        <w:jc w:val="center"/>
        <w:rPr>
          <w:rFonts w:ascii="Times New Roman" w:hAnsi="Times New Roman"/>
          <w:b/>
          <w:bCs/>
          <w:caps/>
          <w:u w:val="single"/>
        </w:rPr>
      </w:pPr>
    </w:p>
    <w:p w14:paraId="7DCB1956" w14:textId="7397E9C1" w:rsidR="00F84A19" w:rsidRDefault="00F84A19" w:rsidP="00500B3F">
      <w:pPr>
        <w:tabs>
          <w:tab w:val="left" w:pos="3418"/>
        </w:tabs>
        <w:jc w:val="center"/>
        <w:rPr>
          <w:rFonts w:ascii="Times New Roman" w:hAnsi="Times New Roman"/>
          <w:b/>
          <w:bCs/>
          <w:caps/>
          <w:u w:val="single"/>
        </w:rPr>
      </w:pPr>
    </w:p>
    <w:p w14:paraId="25EF9883" w14:textId="73BA95C1" w:rsidR="00F84A19" w:rsidRDefault="00F84A19" w:rsidP="00500B3F">
      <w:pPr>
        <w:tabs>
          <w:tab w:val="left" w:pos="3418"/>
        </w:tabs>
        <w:jc w:val="center"/>
        <w:rPr>
          <w:rFonts w:ascii="Times New Roman" w:hAnsi="Times New Roman"/>
          <w:b/>
          <w:bCs/>
          <w:caps/>
          <w:u w:val="single"/>
        </w:rPr>
      </w:pPr>
    </w:p>
    <w:p w14:paraId="581007D8" w14:textId="4A71BB50" w:rsidR="00F84A19" w:rsidRDefault="00F84A19" w:rsidP="00500B3F">
      <w:pPr>
        <w:tabs>
          <w:tab w:val="left" w:pos="3418"/>
        </w:tabs>
        <w:jc w:val="center"/>
        <w:rPr>
          <w:rFonts w:ascii="Times New Roman" w:hAnsi="Times New Roman"/>
          <w:b/>
          <w:bCs/>
          <w:caps/>
          <w:u w:val="single"/>
        </w:rPr>
      </w:pPr>
    </w:p>
    <w:p w14:paraId="082BBB0A" w14:textId="018B38BB" w:rsidR="00F84A19" w:rsidRDefault="00F84A19" w:rsidP="00500B3F">
      <w:pPr>
        <w:tabs>
          <w:tab w:val="left" w:pos="3418"/>
        </w:tabs>
        <w:jc w:val="center"/>
        <w:rPr>
          <w:rFonts w:ascii="Times New Roman" w:hAnsi="Times New Roman"/>
          <w:b/>
          <w:bCs/>
          <w:caps/>
          <w:u w:val="single"/>
        </w:rPr>
      </w:pPr>
    </w:p>
    <w:p w14:paraId="550C0100" w14:textId="1F443504" w:rsidR="00F84A19" w:rsidRDefault="00F84A19" w:rsidP="00500B3F">
      <w:pPr>
        <w:tabs>
          <w:tab w:val="left" w:pos="3418"/>
        </w:tabs>
        <w:jc w:val="center"/>
        <w:rPr>
          <w:rFonts w:ascii="Times New Roman" w:hAnsi="Times New Roman"/>
          <w:b/>
          <w:bCs/>
          <w:caps/>
          <w:u w:val="single"/>
        </w:rPr>
      </w:pPr>
    </w:p>
    <w:p w14:paraId="16B292CD" w14:textId="745D2BEE" w:rsidR="00F84A19" w:rsidRDefault="00F84A19" w:rsidP="00500B3F">
      <w:pPr>
        <w:tabs>
          <w:tab w:val="left" w:pos="3418"/>
        </w:tabs>
        <w:jc w:val="center"/>
        <w:rPr>
          <w:rFonts w:ascii="Times New Roman" w:hAnsi="Times New Roman"/>
          <w:b/>
          <w:bCs/>
          <w:caps/>
          <w:u w:val="single"/>
        </w:rPr>
      </w:pPr>
    </w:p>
    <w:p w14:paraId="356B2FF7" w14:textId="6C1BDCC9" w:rsidR="00F84A19" w:rsidRDefault="00F84A19" w:rsidP="00500B3F">
      <w:pPr>
        <w:tabs>
          <w:tab w:val="left" w:pos="3418"/>
        </w:tabs>
        <w:jc w:val="center"/>
        <w:rPr>
          <w:rFonts w:ascii="Times New Roman" w:hAnsi="Times New Roman"/>
          <w:b/>
          <w:bCs/>
          <w:caps/>
          <w:u w:val="single"/>
        </w:rPr>
      </w:pPr>
    </w:p>
    <w:p w14:paraId="03F204DB" w14:textId="76B10685" w:rsidR="00F84A19" w:rsidRDefault="00F84A19" w:rsidP="00500B3F">
      <w:pPr>
        <w:tabs>
          <w:tab w:val="left" w:pos="3418"/>
        </w:tabs>
        <w:jc w:val="center"/>
        <w:rPr>
          <w:rFonts w:ascii="Times New Roman" w:hAnsi="Times New Roman"/>
          <w:b/>
          <w:bCs/>
          <w:caps/>
          <w:u w:val="single"/>
        </w:rPr>
      </w:pPr>
    </w:p>
    <w:p w14:paraId="005408AB" w14:textId="32DD2E69" w:rsidR="00F84A19" w:rsidRDefault="00F84A19" w:rsidP="00500B3F">
      <w:pPr>
        <w:tabs>
          <w:tab w:val="left" w:pos="3418"/>
        </w:tabs>
        <w:jc w:val="center"/>
        <w:rPr>
          <w:rFonts w:ascii="Times New Roman" w:hAnsi="Times New Roman"/>
          <w:b/>
          <w:bCs/>
          <w:caps/>
          <w:u w:val="single"/>
        </w:rPr>
      </w:pPr>
    </w:p>
    <w:p w14:paraId="6A4A4504" w14:textId="3E468EA2" w:rsidR="00F84A19" w:rsidRDefault="00F84A19" w:rsidP="00500B3F">
      <w:pPr>
        <w:tabs>
          <w:tab w:val="left" w:pos="3418"/>
        </w:tabs>
        <w:jc w:val="center"/>
        <w:rPr>
          <w:rFonts w:ascii="Times New Roman" w:hAnsi="Times New Roman"/>
          <w:b/>
          <w:bCs/>
          <w:caps/>
          <w:u w:val="single"/>
        </w:rPr>
      </w:pPr>
    </w:p>
    <w:p w14:paraId="33DAB112" w14:textId="67C7DFAC" w:rsidR="00F84A19" w:rsidRDefault="00F84A19" w:rsidP="00500B3F">
      <w:pPr>
        <w:tabs>
          <w:tab w:val="left" w:pos="3418"/>
        </w:tabs>
        <w:jc w:val="center"/>
        <w:rPr>
          <w:rFonts w:ascii="Times New Roman" w:hAnsi="Times New Roman"/>
          <w:b/>
          <w:bCs/>
          <w:caps/>
          <w:u w:val="single"/>
        </w:rPr>
      </w:pPr>
    </w:p>
    <w:p w14:paraId="79DCA50B" w14:textId="65617F05" w:rsidR="00F84A19" w:rsidRDefault="00F84A19" w:rsidP="00500B3F">
      <w:pPr>
        <w:tabs>
          <w:tab w:val="left" w:pos="3418"/>
        </w:tabs>
        <w:jc w:val="center"/>
        <w:rPr>
          <w:rFonts w:ascii="Times New Roman" w:hAnsi="Times New Roman"/>
          <w:b/>
          <w:bCs/>
          <w:caps/>
          <w:u w:val="single"/>
        </w:rPr>
      </w:pPr>
    </w:p>
    <w:p w14:paraId="6852CE43" w14:textId="6422FA1A" w:rsidR="00F84A19" w:rsidRDefault="00F84A19" w:rsidP="00500B3F">
      <w:pPr>
        <w:tabs>
          <w:tab w:val="left" w:pos="3418"/>
        </w:tabs>
        <w:jc w:val="center"/>
        <w:rPr>
          <w:rFonts w:ascii="Times New Roman" w:hAnsi="Times New Roman"/>
          <w:b/>
          <w:bCs/>
          <w:caps/>
          <w:u w:val="single"/>
        </w:rPr>
      </w:pPr>
    </w:p>
    <w:p w14:paraId="2CE1B554" w14:textId="1208D91E" w:rsidR="00F84A19" w:rsidRDefault="00F84A19" w:rsidP="00500B3F">
      <w:pPr>
        <w:tabs>
          <w:tab w:val="left" w:pos="3418"/>
        </w:tabs>
        <w:jc w:val="center"/>
        <w:rPr>
          <w:rFonts w:ascii="Times New Roman" w:hAnsi="Times New Roman"/>
          <w:b/>
          <w:bCs/>
          <w:caps/>
          <w:u w:val="single"/>
        </w:rPr>
      </w:pPr>
    </w:p>
    <w:p w14:paraId="787E0114" w14:textId="2581CF30" w:rsidR="00F84A19" w:rsidRDefault="00F84A19" w:rsidP="00500B3F">
      <w:pPr>
        <w:tabs>
          <w:tab w:val="left" w:pos="3418"/>
        </w:tabs>
        <w:jc w:val="center"/>
        <w:rPr>
          <w:rFonts w:ascii="Times New Roman" w:hAnsi="Times New Roman"/>
          <w:b/>
          <w:bCs/>
          <w:caps/>
          <w:u w:val="single"/>
        </w:rPr>
      </w:pPr>
    </w:p>
    <w:p w14:paraId="7FF61CDB" w14:textId="2035308E" w:rsidR="00F84A19" w:rsidRDefault="00F84A19" w:rsidP="00500B3F">
      <w:pPr>
        <w:tabs>
          <w:tab w:val="left" w:pos="3418"/>
        </w:tabs>
        <w:jc w:val="center"/>
        <w:rPr>
          <w:rFonts w:ascii="Times New Roman" w:hAnsi="Times New Roman"/>
          <w:b/>
          <w:bCs/>
          <w:caps/>
          <w:u w:val="single"/>
        </w:rPr>
      </w:pPr>
    </w:p>
    <w:p w14:paraId="33948117" w14:textId="63293076" w:rsidR="00F84A19" w:rsidRDefault="00F84A19" w:rsidP="00500B3F">
      <w:pPr>
        <w:tabs>
          <w:tab w:val="left" w:pos="3418"/>
        </w:tabs>
        <w:jc w:val="center"/>
        <w:rPr>
          <w:rFonts w:ascii="Times New Roman" w:hAnsi="Times New Roman"/>
          <w:b/>
          <w:bCs/>
          <w:caps/>
          <w:u w:val="single"/>
        </w:rPr>
      </w:pPr>
    </w:p>
    <w:p w14:paraId="3E35084B" w14:textId="138BEE87" w:rsidR="00F84A19" w:rsidRDefault="00F84A19" w:rsidP="00500B3F">
      <w:pPr>
        <w:tabs>
          <w:tab w:val="left" w:pos="3418"/>
        </w:tabs>
        <w:jc w:val="center"/>
        <w:rPr>
          <w:rFonts w:ascii="Times New Roman" w:hAnsi="Times New Roman"/>
          <w:b/>
          <w:bCs/>
          <w:caps/>
          <w:u w:val="single"/>
        </w:rPr>
      </w:pPr>
    </w:p>
    <w:p w14:paraId="7A4A7D3E" w14:textId="16B3A950" w:rsidR="00F84A19" w:rsidRDefault="00F84A19" w:rsidP="00500B3F">
      <w:pPr>
        <w:tabs>
          <w:tab w:val="left" w:pos="3418"/>
        </w:tabs>
        <w:jc w:val="center"/>
        <w:rPr>
          <w:rFonts w:ascii="Times New Roman" w:hAnsi="Times New Roman"/>
          <w:b/>
          <w:bCs/>
          <w:caps/>
          <w:u w:val="single"/>
        </w:rPr>
      </w:pPr>
    </w:p>
    <w:p w14:paraId="05732A39" w14:textId="2144EF43" w:rsidR="00F84A19" w:rsidRDefault="00F84A19" w:rsidP="00500B3F">
      <w:pPr>
        <w:tabs>
          <w:tab w:val="left" w:pos="3418"/>
        </w:tabs>
        <w:jc w:val="center"/>
        <w:rPr>
          <w:rFonts w:ascii="Times New Roman" w:hAnsi="Times New Roman"/>
          <w:b/>
          <w:bCs/>
          <w:caps/>
          <w:u w:val="single"/>
        </w:rPr>
      </w:pPr>
    </w:p>
    <w:p w14:paraId="6C9B9C34" w14:textId="7CB8FD82" w:rsidR="00F84A19" w:rsidRDefault="00F84A19" w:rsidP="00500B3F">
      <w:pPr>
        <w:tabs>
          <w:tab w:val="left" w:pos="3418"/>
        </w:tabs>
        <w:jc w:val="center"/>
        <w:rPr>
          <w:rFonts w:ascii="Times New Roman" w:hAnsi="Times New Roman"/>
          <w:b/>
          <w:bCs/>
          <w:caps/>
          <w:u w:val="single"/>
        </w:rPr>
      </w:pPr>
    </w:p>
    <w:p w14:paraId="5FE25B23" w14:textId="09CF31BF" w:rsidR="00F84A19" w:rsidRDefault="00F84A19" w:rsidP="00500B3F">
      <w:pPr>
        <w:tabs>
          <w:tab w:val="left" w:pos="3418"/>
        </w:tabs>
        <w:jc w:val="center"/>
        <w:rPr>
          <w:rFonts w:ascii="Times New Roman" w:hAnsi="Times New Roman"/>
          <w:b/>
          <w:bCs/>
          <w:caps/>
          <w:u w:val="single"/>
        </w:rPr>
      </w:pPr>
    </w:p>
    <w:p w14:paraId="6CB432AB" w14:textId="21CD4F57" w:rsidR="00F84A19" w:rsidRDefault="00F84A19" w:rsidP="00500B3F">
      <w:pPr>
        <w:tabs>
          <w:tab w:val="left" w:pos="3418"/>
        </w:tabs>
        <w:jc w:val="center"/>
        <w:rPr>
          <w:rFonts w:ascii="Times New Roman" w:hAnsi="Times New Roman"/>
          <w:b/>
          <w:bCs/>
          <w:caps/>
          <w:u w:val="single"/>
        </w:rPr>
      </w:pPr>
    </w:p>
    <w:p w14:paraId="5C698A01" w14:textId="52DC9185" w:rsidR="00F84A19" w:rsidRDefault="00F84A19" w:rsidP="00500B3F">
      <w:pPr>
        <w:tabs>
          <w:tab w:val="left" w:pos="3418"/>
        </w:tabs>
        <w:jc w:val="center"/>
        <w:rPr>
          <w:rFonts w:ascii="Times New Roman" w:hAnsi="Times New Roman"/>
          <w:b/>
          <w:bCs/>
          <w:caps/>
          <w:u w:val="single"/>
        </w:rPr>
      </w:pPr>
    </w:p>
    <w:p w14:paraId="72C78FAD" w14:textId="1FC217D6" w:rsidR="00F84A19" w:rsidRDefault="00F84A19" w:rsidP="00500B3F">
      <w:pPr>
        <w:tabs>
          <w:tab w:val="left" w:pos="3418"/>
        </w:tabs>
        <w:jc w:val="center"/>
        <w:rPr>
          <w:rFonts w:ascii="Times New Roman" w:hAnsi="Times New Roman"/>
          <w:b/>
          <w:bCs/>
          <w:caps/>
          <w:u w:val="single"/>
        </w:rPr>
      </w:pPr>
    </w:p>
    <w:p w14:paraId="741939EA" w14:textId="6AD01EC6" w:rsidR="00F84A19" w:rsidRDefault="00F84A19" w:rsidP="00500B3F">
      <w:pPr>
        <w:tabs>
          <w:tab w:val="left" w:pos="3418"/>
        </w:tabs>
        <w:jc w:val="center"/>
        <w:rPr>
          <w:rFonts w:ascii="Times New Roman" w:hAnsi="Times New Roman"/>
          <w:b/>
          <w:bCs/>
          <w:caps/>
          <w:u w:val="single"/>
        </w:rPr>
      </w:pPr>
    </w:p>
    <w:p w14:paraId="4D39823F" w14:textId="5D540729" w:rsidR="00F84A19" w:rsidRDefault="00F84A19" w:rsidP="00500B3F">
      <w:pPr>
        <w:tabs>
          <w:tab w:val="left" w:pos="3418"/>
        </w:tabs>
        <w:jc w:val="center"/>
        <w:rPr>
          <w:rFonts w:ascii="Times New Roman" w:hAnsi="Times New Roman"/>
          <w:b/>
          <w:bCs/>
          <w:caps/>
          <w:u w:val="single"/>
        </w:rPr>
      </w:pPr>
    </w:p>
    <w:p w14:paraId="7BA3956B" w14:textId="3A73E9CA" w:rsidR="00F84A19" w:rsidRDefault="00F84A19" w:rsidP="00500B3F">
      <w:pPr>
        <w:tabs>
          <w:tab w:val="left" w:pos="3418"/>
        </w:tabs>
        <w:jc w:val="center"/>
        <w:rPr>
          <w:rFonts w:ascii="Times New Roman" w:hAnsi="Times New Roman"/>
          <w:b/>
          <w:bCs/>
          <w:caps/>
          <w:u w:val="single"/>
        </w:rPr>
      </w:pPr>
    </w:p>
    <w:p w14:paraId="0BDCC221" w14:textId="2764EC73" w:rsidR="00F84A19" w:rsidRDefault="00F84A19" w:rsidP="00500B3F">
      <w:pPr>
        <w:tabs>
          <w:tab w:val="left" w:pos="3418"/>
        </w:tabs>
        <w:jc w:val="center"/>
        <w:rPr>
          <w:rFonts w:ascii="Times New Roman" w:hAnsi="Times New Roman"/>
          <w:b/>
          <w:bCs/>
          <w:caps/>
          <w:u w:val="single"/>
        </w:rPr>
      </w:pPr>
    </w:p>
    <w:p w14:paraId="65CFB601" w14:textId="6559368B" w:rsidR="00F84A19" w:rsidRDefault="00F84A19" w:rsidP="00500B3F">
      <w:pPr>
        <w:tabs>
          <w:tab w:val="left" w:pos="3418"/>
        </w:tabs>
        <w:jc w:val="center"/>
        <w:rPr>
          <w:rFonts w:ascii="Times New Roman" w:hAnsi="Times New Roman"/>
          <w:b/>
          <w:bCs/>
          <w:caps/>
          <w:u w:val="single"/>
        </w:rPr>
      </w:pPr>
    </w:p>
    <w:p w14:paraId="2A8E504F" w14:textId="0E492666" w:rsidR="00F84A19" w:rsidRDefault="00F84A19" w:rsidP="00500B3F">
      <w:pPr>
        <w:tabs>
          <w:tab w:val="left" w:pos="3418"/>
        </w:tabs>
        <w:jc w:val="center"/>
        <w:rPr>
          <w:rFonts w:ascii="Times New Roman" w:hAnsi="Times New Roman"/>
          <w:b/>
          <w:bCs/>
          <w:caps/>
          <w:u w:val="single"/>
        </w:rPr>
      </w:pPr>
    </w:p>
    <w:p w14:paraId="2752C80F" w14:textId="5024A0BA" w:rsidR="00F84A19" w:rsidRDefault="00F84A19" w:rsidP="00500B3F">
      <w:pPr>
        <w:tabs>
          <w:tab w:val="left" w:pos="3418"/>
        </w:tabs>
        <w:jc w:val="center"/>
        <w:rPr>
          <w:rFonts w:ascii="Times New Roman" w:hAnsi="Times New Roman"/>
          <w:b/>
          <w:bCs/>
          <w:caps/>
          <w:u w:val="single"/>
        </w:rPr>
      </w:pPr>
    </w:p>
    <w:p w14:paraId="2836ED58" w14:textId="2A70597B" w:rsidR="00F84A19" w:rsidRDefault="00F84A19" w:rsidP="00500B3F">
      <w:pPr>
        <w:tabs>
          <w:tab w:val="left" w:pos="3418"/>
        </w:tabs>
        <w:jc w:val="center"/>
        <w:rPr>
          <w:rFonts w:ascii="Times New Roman" w:hAnsi="Times New Roman"/>
          <w:b/>
          <w:bCs/>
          <w:caps/>
          <w:u w:val="single"/>
        </w:rPr>
      </w:pPr>
    </w:p>
    <w:p w14:paraId="332586D2" w14:textId="77777777" w:rsidR="00F84A19" w:rsidRDefault="00F84A19" w:rsidP="00500B3F">
      <w:pPr>
        <w:tabs>
          <w:tab w:val="left" w:pos="3418"/>
        </w:tabs>
        <w:jc w:val="center"/>
        <w:rPr>
          <w:rFonts w:ascii="Times New Roman" w:hAnsi="Times New Roman"/>
          <w:b/>
          <w:bCs/>
          <w:caps/>
          <w:u w:val="single"/>
        </w:rPr>
      </w:pPr>
    </w:p>
    <w:p w14:paraId="6D1F561C" w14:textId="77777777" w:rsidR="00D53D91" w:rsidRDefault="00D53D91" w:rsidP="001D47FF">
      <w:pPr>
        <w:tabs>
          <w:tab w:val="left" w:pos="3418"/>
        </w:tabs>
        <w:rPr>
          <w:rFonts w:ascii="Times New Roman" w:hAnsi="Times New Roman"/>
          <w:b/>
          <w:bCs/>
          <w:caps/>
          <w:u w:val="single"/>
        </w:rPr>
      </w:pPr>
    </w:p>
    <w:p w14:paraId="68CD0779" w14:textId="1C9722D0" w:rsidR="00FD4778" w:rsidRPr="007B5EB3" w:rsidRDefault="00FD4778" w:rsidP="00500B3F">
      <w:pPr>
        <w:tabs>
          <w:tab w:val="left" w:pos="3418"/>
        </w:tabs>
        <w:jc w:val="center"/>
        <w:rPr>
          <w:rFonts w:ascii="Times New Roman" w:hAnsi="Times New Roman"/>
          <w:b/>
          <w:bCs/>
          <w:caps/>
          <w:u w:val="single"/>
        </w:rPr>
      </w:pPr>
      <w:r w:rsidRPr="007B5EB3">
        <w:rPr>
          <w:rFonts w:ascii="Times New Roman" w:hAnsi="Times New Roman"/>
          <w:b/>
          <w:bCs/>
          <w:caps/>
          <w:u w:val="single"/>
        </w:rPr>
        <w:t>E</w:t>
      </w:r>
      <w:r w:rsidRPr="007B5EB3">
        <w:rPr>
          <w:rFonts w:ascii="Times New Roman" w:hAnsi="Times New Roman"/>
          <w:b/>
          <w:bCs/>
          <w:caps/>
        </w:rPr>
        <w:t xml:space="preserve"> </w:t>
      </w:r>
      <w:r w:rsidRPr="007B5EB3">
        <w:rPr>
          <w:rFonts w:ascii="Times New Roman" w:hAnsi="Times New Roman"/>
          <w:b/>
          <w:bCs/>
          <w:caps/>
          <w:u w:val="single"/>
        </w:rPr>
        <w:t>X</w:t>
      </w:r>
      <w:r w:rsidRPr="007B5EB3">
        <w:rPr>
          <w:rFonts w:ascii="Times New Roman" w:hAnsi="Times New Roman"/>
          <w:b/>
          <w:bCs/>
          <w:caps/>
        </w:rPr>
        <w:t xml:space="preserve"> </w:t>
      </w:r>
      <w:r w:rsidRPr="007B5EB3">
        <w:rPr>
          <w:rFonts w:ascii="Times New Roman" w:hAnsi="Times New Roman"/>
          <w:b/>
          <w:bCs/>
          <w:caps/>
          <w:u w:val="single"/>
        </w:rPr>
        <w:t>H</w:t>
      </w:r>
      <w:r w:rsidRPr="007B5EB3">
        <w:rPr>
          <w:rFonts w:ascii="Times New Roman" w:hAnsi="Times New Roman"/>
          <w:b/>
          <w:bCs/>
          <w:caps/>
        </w:rPr>
        <w:t xml:space="preserve"> </w:t>
      </w:r>
      <w:r w:rsidRPr="007B5EB3">
        <w:rPr>
          <w:rFonts w:ascii="Times New Roman" w:hAnsi="Times New Roman"/>
          <w:b/>
          <w:bCs/>
          <w:caps/>
          <w:u w:val="single"/>
        </w:rPr>
        <w:t>I</w:t>
      </w:r>
      <w:r w:rsidRPr="007B5EB3">
        <w:rPr>
          <w:rFonts w:ascii="Times New Roman" w:hAnsi="Times New Roman"/>
          <w:b/>
          <w:bCs/>
          <w:caps/>
        </w:rPr>
        <w:t xml:space="preserve"> </w:t>
      </w:r>
      <w:r w:rsidRPr="007B5EB3">
        <w:rPr>
          <w:rFonts w:ascii="Times New Roman" w:hAnsi="Times New Roman"/>
          <w:b/>
          <w:bCs/>
          <w:caps/>
          <w:u w:val="single"/>
        </w:rPr>
        <w:t>B</w:t>
      </w:r>
      <w:r w:rsidRPr="007B5EB3">
        <w:rPr>
          <w:rFonts w:ascii="Times New Roman" w:hAnsi="Times New Roman"/>
          <w:b/>
          <w:bCs/>
          <w:caps/>
        </w:rPr>
        <w:t xml:space="preserve"> </w:t>
      </w:r>
      <w:r w:rsidRPr="007B5EB3">
        <w:rPr>
          <w:rFonts w:ascii="Times New Roman" w:hAnsi="Times New Roman"/>
          <w:b/>
          <w:bCs/>
          <w:caps/>
          <w:u w:val="single"/>
        </w:rPr>
        <w:t>I</w:t>
      </w:r>
      <w:r w:rsidRPr="007B5EB3">
        <w:rPr>
          <w:rFonts w:ascii="Times New Roman" w:hAnsi="Times New Roman"/>
          <w:b/>
          <w:bCs/>
          <w:caps/>
        </w:rPr>
        <w:t xml:space="preserve"> </w:t>
      </w:r>
      <w:r w:rsidRPr="007B5EB3">
        <w:rPr>
          <w:rFonts w:ascii="Times New Roman" w:hAnsi="Times New Roman"/>
          <w:b/>
          <w:bCs/>
          <w:caps/>
          <w:u w:val="single"/>
        </w:rPr>
        <w:t>T</w:t>
      </w:r>
      <w:r w:rsidRPr="007B5EB3">
        <w:rPr>
          <w:rFonts w:ascii="Times New Roman" w:hAnsi="Times New Roman"/>
          <w:b/>
          <w:bCs/>
          <w:caps/>
        </w:rPr>
        <w:t xml:space="preserve"> </w:t>
      </w:r>
      <w:r w:rsidRPr="007B5EB3">
        <w:rPr>
          <w:rFonts w:ascii="Times New Roman" w:hAnsi="Times New Roman"/>
          <w:b/>
          <w:bCs/>
          <w:caps/>
          <w:u w:val="single"/>
        </w:rPr>
        <w:t>“A”</w:t>
      </w:r>
    </w:p>
    <w:p w14:paraId="1CA48A65" w14:textId="77777777" w:rsidR="00D0733E" w:rsidRPr="007B5EB3" w:rsidRDefault="00D0733E" w:rsidP="00500B3F">
      <w:pPr>
        <w:tabs>
          <w:tab w:val="left" w:pos="3418"/>
        </w:tabs>
        <w:jc w:val="center"/>
        <w:rPr>
          <w:rFonts w:ascii="Times New Roman" w:hAnsi="Times New Roman"/>
          <w:b/>
          <w:bCs/>
          <w:caps/>
          <w:u w:val="single"/>
        </w:rPr>
      </w:pPr>
    </w:p>
    <w:p w14:paraId="6F5E0B92" w14:textId="77777777" w:rsidR="000C0C22" w:rsidRPr="007B5EB3" w:rsidRDefault="000C0C22" w:rsidP="00500B3F">
      <w:pPr>
        <w:tabs>
          <w:tab w:val="left" w:pos="720"/>
          <w:tab w:val="left" w:pos="1440"/>
          <w:tab w:val="left" w:pos="2160"/>
        </w:tabs>
        <w:ind w:firstLine="720"/>
        <w:jc w:val="center"/>
        <w:rPr>
          <w:rFonts w:ascii="Times New Roman" w:hAnsi="Times New Roman"/>
          <w:b/>
          <w:bCs/>
          <w:caps/>
        </w:rPr>
      </w:pPr>
      <w:r w:rsidRPr="007B5EB3">
        <w:rPr>
          <w:rFonts w:ascii="Times New Roman" w:hAnsi="Times New Roman"/>
          <w:b/>
          <w:bCs/>
          <w:caps/>
        </w:rPr>
        <w:lastRenderedPageBreak/>
        <w:t>APPROVED SERVICE AREA</w:t>
      </w:r>
    </w:p>
    <w:p w14:paraId="37264765" w14:textId="6A91A8DB" w:rsidR="000C0C22" w:rsidRPr="007B5EB3" w:rsidRDefault="000C0C22" w:rsidP="00D53D91">
      <w:pPr>
        <w:tabs>
          <w:tab w:val="left" w:pos="720"/>
          <w:tab w:val="left" w:pos="1440"/>
          <w:tab w:val="left" w:pos="2160"/>
        </w:tabs>
        <w:ind w:firstLine="720"/>
        <w:jc w:val="center"/>
        <w:rPr>
          <w:rFonts w:ascii="Times New Roman" w:hAnsi="Times New Roman"/>
          <w:b/>
          <w:bCs/>
          <w:caps/>
        </w:rPr>
      </w:pPr>
      <w:r w:rsidRPr="007B5EB3">
        <w:rPr>
          <w:rFonts w:ascii="Times New Roman" w:hAnsi="Times New Roman"/>
          <w:b/>
          <w:bCs/>
          <w:caps/>
        </w:rPr>
        <w:t xml:space="preserve">PARCELS </w:t>
      </w:r>
      <w:r w:rsidR="00D53D91" w:rsidRPr="007B5EB3">
        <w:rPr>
          <w:rFonts w:ascii="Times New Roman" w:hAnsi="Times New Roman"/>
          <w:b/>
          <w:bCs/>
          <w:caps/>
        </w:rPr>
        <w:t xml:space="preserve">BEING transferred FROM VEOLIA WATER DELAWARE, INC. TO THE CITY OF NEWARK </w:t>
      </w:r>
    </w:p>
    <w:p w14:paraId="528DB0D4" w14:textId="77777777" w:rsidR="000C0C22" w:rsidRPr="007B5EB3" w:rsidRDefault="000C0C22" w:rsidP="00500B3F">
      <w:pPr>
        <w:jc w:val="center"/>
        <w:rPr>
          <w:rFonts w:ascii="Times New Roman" w:hAnsi="Times New Roman"/>
          <w:b/>
          <w:bCs/>
          <w:caps/>
        </w:rPr>
      </w:pPr>
    </w:p>
    <w:p w14:paraId="549649C9" w14:textId="3EDD62D0" w:rsidR="000C0C22" w:rsidRPr="007B5EB3" w:rsidRDefault="000C0C22" w:rsidP="00500B3F">
      <w:pPr>
        <w:tabs>
          <w:tab w:val="left" w:pos="720"/>
          <w:tab w:val="left" w:pos="1440"/>
          <w:tab w:val="left" w:pos="2160"/>
        </w:tabs>
        <w:ind w:firstLine="720"/>
        <w:jc w:val="center"/>
        <w:rPr>
          <w:rFonts w:ascii="Times New Roman" w:hAnsi="Times New Roman"/>
          <w:b/>
          <w:bCs/>
          <w:caps/>
        </w:rPr>
      </w:pPr>
      <w:r w:rsidRPr="007B5EB3">
        <w:rPr>
          <w:rFonts w:ascii="Times New Roman" w:hAnsi="Times New Roman"/>
          <w:b/>
          <w:bCs/>
          <w:caps/>
        </w:rPr>
        <w:t xml:space="preserve">PSC DOCKET NO. </w:t>
      </w:r>
      <w:r w:rsidR="00BC76DB" w:rsidRPr="007B5EB3">
        <w:rPr>
          <w:rFonts w:ascii="Times New Roman" w:hAnsi="Times New Roman"/>
          <w:b/>
          <w:bCs/>
          <w:caps/>
        </w:rPr>
        <w:t>23-1165</w:t>
      </w:r>
    </w:p>
    <w:p w14:paraId="249973D2" w14:textId="77777777" w:rsidR="000C0C22" w:rsidRPr="007B5EB3" w:rsidRDefault="000C0C22" w:rsidP="00500B3F">
      <w:pPr>
        <w:tabs>
          <w:tab w:val="left" w:pos="720"/>
          <w:tab w:val="left" w:pos="1440"/>
          <w:tab w:val="left" w:pos="2160"/>
        </w:tabs>
        <w:ind w:firstLine="720"/>
        <w:jc w:val="center"/>
        <w:rPr>
          <w:rFonts w:ascii="Times New Roman" w:hAnsi="Times New Roman"/>
          <w:b/>
          <w:bCs/>
          <w:caps/>
        </w:rPr>
      </w:pPr>
    </w:p>
    <w:p w14:paraId="5E8C5D42" w14:textId="5E452096" w:rsidR="004406F7" w:rsidRPr="007B5EB3" w:rsidRDefault="000C0C22" w:rsidP="00DD200B">
      <w:pPr>
        <w:tabs>
          <w:tab w:val="left" w:pos="720"/>
          <w:tab w:val="left" w:pos="1440"/>
          <w:tab w:val="left" w:pos="2160"/>
        </w:tabs>
        <w:ind w:firstLine="720"/>
        <w:jc w:val="center"/>
        <w:rPr>
          <w:rFonts w:ascii="Times New Roman" w:hAnsi="Times New Roman"/>
          <w:b/>
          <w:bCs/>
          <w:caps/>
          <w:u w:val="single"/>
        </w:rPr>
        <w:sectPr w:rsidR="004406F7" w:rsidRPr="007B5EB3" w:rsidSect="00A56184">
          <w:headerReference w:type="default" r:id="rId8"/>
          <w:footerReference w:type="even" r:id="rId9"/>
          <w:footerReference w:type="default" r:id="rId10"/>
          <w:pgSz w:w="12240" w:h="15840" w:code="1"/>
          <w:pgMar w:top="1440" w:right="1440" w:bottom="1440" w:left="1440" w:header="720" w:footer="720" w:gutter="0"/>
          <w:paperSrc w:first="15" w:other="15"/>
          <w:pgNumType w:start="1"/>
          <w:cols w:space="90"/>
          <w:titlePg/>
          <w:docGrid w:linePitch="360"/>
        </w:sectPr>
      </w:pPr>
      <w:r w:rsidRPr="007B5EB3">
        <w:rPr>
          <w:rFonts w:ascii="Times New Roman" w:hAnsi="Times New Roman"/>
          <w:b/>
          <w:bCs/>
          <w:caps/>
          <w:u w:val="single"/>
        </w:rPr>
        <w:t>TAX MAP PARCEL Numbers</w:t>
      </w:r>
    </w:p>
    <w:p w14:paraId="49E295BA" w14:textId="77777777" w:rsidR="000C0C22" w:rsidRPr="007B5EB3" w:rsidRDefault="000C0C22" w:rsidP="000C0C22">
      <w:pPr>
        <w:tabs>
          <w:tab w:val="left" w:pos="720"/>
          <w:tab w:val="left" w:pos="1440"/>
          <w:tab w:val="left" w:pos="2160"/>
        </w:tabs>
        <w:ind w:firstLine="720"/>
        <w:jc w:val="center"/>
        <w:rPr>
          <w:rFonts w:ascii="Times New Roman" w:hAnsi="Times New Roman"/>
          <w:b/>
          <w:bCs/>
          <w:caps/>
          <w:u w:val="single"/>
        </w:rPr>
      </w:pPr>
    </w:p>
    <w:p w14:paraId="1496D7DD" w14:textId="77777777" w:rsidR="000C0C22" w:rsidRPr="007B5EB3" w:rsidRDefault="000C0C22" w:rsidP="000C0C22">
      <w:pPr>
        <w:tabs>
          <w:tab w:val="left" w:pos="720"/>
          <w:tab w:val="left" w:pos="1440"/>
          <w:tab w:val="left" w:pos="2160"/>
        </w:tabs>
        <w:spacing w:line="360" w:lineRule="auto"/>
        <w:ind w:firstLine="720"/>
        <w:jc w:val="center"/>
        <w:rPr>
          <w:rFonts w:ascii="Times New Roman" w:hAnsi="Times New Roman"/>
          <w:bCs/>
          <w:caps/>
        </w:rPr>
        <w:sectPr w:rsidR="000C0C22" w:rsidRPr="007B5EB3" w:rsidSect="004406F7">
          <w:type w:val="continuous"/>
          <w:pgSz w:w="12240" w:h="15840" w:code="1"/>
          <w:pgMar w:top="1440" w:right="1800" w:bottom="1440" w:left="1800" w:header="720" w:footer="720" w:gutter="0"/>
          <w:paperSrc w:first="263" w:other="263"/>
          <w:pgNumType w:start="1"/>
          <w:cols w:num="3" w:space="90"/>
          <w:titlePg/>
          <w:docGrid w:linePitch="360"/>
        </w:sectPr>
      </w:pPr>
    </w:p>
    <w:tbl>
      <w:tblPr>
        <w:tblW w:w="3540" w:type="dxa"/>
        <w:tblLook w:val="04A0" w:firstRow="1" w:lastRow="0" w:firstColumn="1" w:lastColumn="0" w:noHBand="0" w:noVBand="1"/>
      </w:tblPr>
      <w:tblGrid>
        <w:gridCol w:w="3540"/>
      </w:tblGrid>
      <w:tr w:rsidR="004406F7" w:rsidRPr="007B5EB3" w14:paraId="3B827E09" w14:textId="77777777" w:rsidTr="002D12C9">
        <w:trPr>
          <w:trHeight w:val="300"/>
        </w:trPr>
        <w:tc>
          <w:tcPr>
            <w:tcW w:w="3540" w:type="dxa"/>
            <w:tcBorders>
              <w:top w:val="nil"/>
              <w:left w:val="nil"/>
              <w:bottom w:val="nil"/>
              <w:right w:val="nil"/>
            </w:tcBorders>
            <w:shd w:val="clear" w:color="auto" w:fill="auto"/>
            <w:noWrap/>
            <w:vAlign w:val="bottom"/>
          </w:tcPr>
          <w:p w14:paraId="065EAAD8"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901500001</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8CCCC73"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901500002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63CC4984"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901500003</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F2D42F7"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1802100215</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5CC6827" w14:textId="4250250E" w:rsidR="00500FD3" w:rsidRPr="007B5EB3" w:rsidRDefault="00500FD3" w:rsidP="00500FD3">
            <w:pPr>
              <w:rPr>
                <w:rFonts w:ascii="Times New Roman" w:hAnsi="Times New Roman"/>
                <w:color w:val="000000"/>
              </w:rPr>
            </w:pPr>
            <w:r w:rsidRPr="007B5EB3">
              <w:rPr>
                <w:rFonts w:ascii="Times New Roman" w:hAnsi="Times New Roman"/>
                <w:color w:val="000000"/>
              </w:rPr>
              <w:t>1803200254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DC461E1"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1803600002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D528272"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1803600003</w:t>
            </w:r>
          </w:p>
          <w:p w14:paraId="2BFE4C5A" w14:textId="13CC3D25" w:rsidR="00500FD3" w:rsidRPr="007B5EB3" w:rsidRDefault="00500FD3" w:rsidP="00500FD3">
            <w:pPr>
              <w:rPr>
                <w:rFonts w:ascii="Times New Roman" w:hAnsi="Times New Roman"/>
                <w:color w:val="000000"/>
              </w:rPr>
            </w:pPr>
            <w:r w:rsidRPr="007B5EB3">
              <w:rPr>
                <w:rFonts w:ascii="Times New Roman" w:hAnsi="Times New Roman"/>
                <w:color w:val="000000"/>
              </w:rPr>
              <w:t>1804400200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49638FB" w14:textId="5DB48EA4" w:rsidR="00500FD3" w:rsidRPr="007B5EB3" w:rsidRDefault="00500FD3" w:rsidP="00500FD3">
            <w:pPr>
              <w:rPr>
                <w:rFonts w:ascii="Times New Roman" w:hAnsi="Times New Roman"/>
                <w:color w:val="000000"/>
              </w:rPr>
            </w:pPr>
            <w:r w:rsidRPr="007B5EB3">
              <w:rPr>
                <w:rFonts w:ascii="Times New Roman" w:hAnsi="Times New Roman"/>
                <w:color w:val="000000"/>
              </w:rPr>
              <w:t>1100540009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214E0B5"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1100540010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5FD4C55"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1100540005</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16624C8"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1100540011</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69DE692"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1100540006</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62A347AD"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1100540012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D01B37B"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1100540007</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54F4449"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1100540013</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CFB6CC0"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1100540008</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487DF7D"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1100540014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B957ACE"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1100540176</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094F3BF"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1100540187</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D57C818"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1100540177</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BA4152A"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1100540188</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0CCBAEE"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1100540178</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92C3205"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1100540189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F87E9DF"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1100540179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0C23D3D3"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1100540180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58207E3"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1100540194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65A2F812"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1100540181</w:t>
            </w:r>
            <w:r w:rsidRPr="007B5EB3">
              <w:rPr>
                <w:rFonts w:ascii="Times New Roman" w:hAnsi="Times New Roman"/>
                <w:color w:val="000000"/>
              </w:rPr>
              <w:tab/>
            </w:r>
          </w:p>
          <w:p w14:paraId="685043F9" w14:textId="7407E0A0" w:rsidR="00500FD3" w:rsidRPr="007B5EB3" w:rsidRDefault="00500FD3" w:rsidP="00500FD3">
            <w:pPr>
              <w:rPr>
                <w:rFonts w:ascii="Times New Roman" w:hAnsi="Times New Roman"/>
                <w:color w:val="000000"/>
              </w:rPr>
            </w:pPr>
            <w:r w:rsidRPr="007B5EB3">
              <w:rPr>
                <w:rFonts w:ascii="Times New Roman" w:hAnsi="Times New Roman"/>
                <w:color w:val="000000"/>
              </w:rPr>
              <w:t>1100540195</w:t>
            </w:r>
          </w:p>
          <w:p w14:paraId="6B65E454" w14:textId="0642A703" w:rsidR="00096F0C" w:rsidRPr="007B5EB3" w:rsidRDefault="00096F0C" w:rsidP="00096F0C">
            <w:pPr>
              <w:rPr>
                <w:rFonts w:ascii="Times New Roman" w:hAnsi="Times New Roman"/>
                <w:color w:val="000000"/>
              </w:rPr>
            </w:pPr>
            <w:r w:rsidRPr="007B5EB3">
              <w:rPr>
                <w:rFonts w:ascii="Times New Roman" w:hAnsi="Times New Roman"/>
                <w:color w:val="000000"/>
              </w:rPr>
              <w:t>1100540182</w:t>
            </w:r>
          </w:p>
          <w:p w14:paraId="6EE492F9" w14:textId="1D3E618E" w:rsidR="00096F0C" w:rsidRPr="007B5EB3" w:rsidRDefault="00096F0C" w:rsidP="00096F0C">
            <w:pPr>
              <w:rPr>
                <w:rFonts w:ascii="Times New Roman" w:hAnsi="Times New Roman"/>
                <w:color w:val="000000"/>
              </w:rPr>
            </w:pPr>
            <w:r w:rsidRPr="007B5EB3">
              <w:rPr>
                <w:rFonts w:ascii="Times New Roman" w:hAnsi="Times New Roman"/>
                <w:color w:val="000000"/>
              </w:rPr>
              <w:t>1100540196</w:t>
            </w:r>
          </w:p>
          <w:p w14:paraId="51E74EBF" w14:textId="291B8B08" w:rsidR="00096F0C" w:rsidRPr="007B5EB3" w:rsidRDefault="00096F0C" w:rsidP="00096F0C">
            <w:pPr>
              <w:rPr>
                <w:rFonts w:ascii="Times New Roman" w:hAnsi="Times New Roman"/>
                <w:color w:val="000000"/>
              </w:rPr>
            </w:pPr>
            <w:r w:rsidRPr="007B5EB3">
              <w:rPr>
                <w:rFonts w:ascii="Times New Roman" w:hAnsi="Times New Roman"/>
                <w:color w:val="000000"/>
              </w:rPr>
              <w:t>1100540183</w:t>
            </w:r>
          </w:p>
          <w:p w14:paraId="698E9E1D" w14:textId="35C3FC10" w:rsidR="00096F0C" w:rsidRPr="007B5EB3" w:rsidRDefault="00096F0C" w:rsidP="00096F0C">
            <w:pPr>
              <w:rPr>
                <w:rFonts w:ascii="Times New Roman" w:hAnsi="Times New Roman"/>
                <w:color w:val="000000"/>
              </w:rPr>
            </w:pPr>
            <w:r w:rsidRPr="007B5EB3">
              <w:rPr>
                <w:rFonts w:ascii="Times New Roman" w:hAnsi="Times New Roman"/>
                <w:color w:val="000000"/>
              </w:rPr>
              <w:t>1100540184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F54BAFE" w14:textId="47CED6ED" w:rsidR="00096F0C" w:rsidRPr="007B5EB3" w:rsidRDefault="00096F0C" w:rsidP="00096F0C">
            <w:pPr>
              <w:rPr>
                <w:rFonts w:ascii="Times New Roman" w:hAnsi="Times New Roman"/>
                <w:color w:val="000000"/>
              </w:rPr>
            </w:pPr>
            <w:r w:rsidRPr="007B5EB3">
              <w:rPr>
                <w:rFonts w:ascii="Times New Roman" w:hAnsi="Times New Roman"/>
                <w:color w:val="000000"/>
              </w:rPr>
              <w:t>1100540204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09670CD" w14:textId="231A6F33" w:rsidR="00096F0C" w:rsidRPr="007B5EB3" w:rsidRDefault="00096F0C" w:rsidP="00096F0C">
            <w:pPr>
              <w:rPr>
                <w:rFonts w:ascii="Times New Roman" w:hAnsi="Times New Roman"/>
                <w:color w:val="000000"/>
              </w:rPr>
            </w:pPr>
            <w:r w:rsidRPr="007B5EB3">
              <w:rPr>
                <w:rFonts w:ascii="Times New Roman" w:hAnsi="Times New Roman"/>
                <w:color w:val="000000"/>
              </w:rPr>
              <w:t>1100540200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67229BB" w14:textId="5F7F25A2" w:rsidR="00096F0C" w:rsidRPr="007B5EB3" w:rsidRDefault="00096F0C" w:rsidP="00096F0C">
            <w:pPr>
              <w:rPr>
                <w:rFonts w:ascii="Times New Roman" w:hAnsi="Times New Roman"/>
                <w:color w:val="000000"/>
              </w:rPr>
            </w:pPr>
            <w:r w:rsidRPr="007B5EB3">
              <w:rPr>
                <w:rFonts w:ascii="Times New Roman" w:hAnsi="Times New Roman"/>
                <w:color w:val="000000"/>
              </w:rPr>
              <w:t>1100540186</w:t>
            </w:r>
            <w:r w:rsidRPr="007B5EB3">
              <w:rPr>
                <w:rFonts w:ascii="Times New Roman" w:hAnsi="Times New Roman"/>
                <w:color w:val="000000"/>
              </w:rPr>
              <w:tab/>
            </w:r>
          </w:p>
          <w:p w14:paraId="14B7F328" w14:textId="1646343E" w:rsidR="00096F0C" w:rsidRPr="007B5EB3" w:rsidRDefault="00096F0C" w:rsidP="00096F0C">
            <w:pPr>
              <w:rPr>
                <w:rFonts w:ascii="Times New Roman" w:hAnsi="Times New Roman"/>
                <w:color w:val="000000"/>
              </w:rPr>
            </w:pPr>
            <w:r w:rsidRPr="007B5EB3">
              <w:rPr>
                <w:rFonts w:ascii="Times New Roman" w:hAnsi="Times New Roman"/>
                <w:color w:val="000000"/>
              </w:rPr>
              <w:t>1100540185</w:t>
            </w:r>
          </w:p>
          <w:p w14:paraId="1E4EF8C8" w14:textId="5AD31C60" w:rsidR="00096F0C" w:rsidRPr="007B5EB3" w:rsidRDefault="00096F0C" w:rsidP="00096F0C">
            <w:pPr>
              <w:rPr>
                <w:rFonts w:ascii="Times New Roman" w:hAnsi="Times New Roman"/>
                <w:color w:val="000000"/>
              </w:rPr>
            </w:pPr>
            <w:r w:rsidRPr="007B5EB3">
              <w:rPr>
                <w:rFonts w:ascii="Times New Roman" w:hAnsi="Times New Roman"/>
                <w:color w:val="000000"/>
              </w:rPr>
              <w:t>1100920001</w:t>
            </w:r>
          </w:p>
          <w:p w14:paraId="0F62022A" w14:textId="1BB1E497" w:rsidR="00096F0C" w:rsidRPr="007B5EB3" w:rsidRDefault="00096F0C" w:rsidP="00096F0C">
            <w:pPr>
              <w:rPr>
                <w:rFonts w:ascii="Times New Roman" w:hAnsi="Times New Roman"/>
                <w:color w:val="000000"/>
              </w:rPr>
            </w:pPr>
            <w:r w:rsidRPr="007B5EB3">
              <w:rPr>
                <w:rFonts w:ascii="Times New Roman" w:hAnsi="Times New Roman"/>
                <w:color w:val="000000"/>
              </w:rPr>
              <w:t>1100920002</w:t>
            </w:r>
          </w:p>
          <w:p w14:paraId="6AE9614A" w14:textId="1FE33BEB" w:rsidR="00096F0C" w:rsidRPr="007B5EB3" w:rsidRDefault="00096F0C" w:rsidP="00096F0C">
            <w:pPr>
              <w:rPr>
                <w:rFonts w:ascii="Times New Roman" w:hAnsi="Times New Roman"/>
                <w:color w:val="000000"/>
              </w:rPr>
            </w:pPr>
            <w:r w:rsidRPr="007B5EB3">
              <w:rPr>
                <w:rFonts w:ascii="Times New Roman" w:hAnsi="Times New Roman"/>
                <w:color w:val="000000"/>
              </w:rPr>
              <w:t>1100920011</w:t>
            </w:r>
          </w:p>
          <w:p w14:paraId="6FF801B2" w14:textId="238B5091" w:rsidR="00096F0C" w:rsidRPr="007B5EB3" w:rsidRDefault="00096F0C" w:rsidP="00096F0C">
            <w:pPr>
              <w:rPr>
                <w:rFonts w:ascii="Times New Roman" w:hAnsi="Times New Roman"/>
                <w:color w:val="000000"/>
              </w:rPr>
            </w:pPr>
            <w:r w:rsidRPr="007B5EB3">
              <w:rPr>
                <w:rFonts w:ascii="Times New Roman" w:hAnsi="Times New Roman"/>
                <w:color w:val="000000"/>
              </w:rPr>
              <w:t>1100540193</w:t>
            </w:r>
          </w:p>
          <w:p w14:paraId="18660466" w14:textId="061B072E" w:rsidR="00096F0C" w:rsidRPr="007B5EB3" w:rsidRDefault="00096F0C" w:rsidP="00096F0C">
            <w:pPr>
              <w:rPr>
                <w:rFonts w:ascii="Times New Roman" w:hAnsi="Times New Roman"/>
                <w:color w:val="000000"/>
              </w:rPr>
            </w:pPr>
            <w:r w:rsidRPr="007B5EB3">
              <w:rPr>
                <w:rFonts w:ascii="Times New Roman" w:hAnsi="Times New Roman"/>
                <w:color w:val="000000"/>
              </w:rPr>
              <w:t>1100540190</w:t>
            </w:r>
          </w:p>
          <w:p w14:paraId="15E63CD1" w14:textId="6447762A" w:rsidR="00500FD3" w:rsidRPr="007B5EB3" w:rsidRDefault="00096F0C" w:rsidP="00096F0C">
            <w:pPr>
              <w:rPr>
                <w:rFonts w:ascii="Times New Roman" w:hAnsi="Times New Roman"/>
                <w:color w:val="000000"/>
              </w:rPr>
            </w:pPr>
            <w:r w:rsidRPr="007B5EB3">
              <w:rPr>
                <w:rFonts w:ascii="Times New Roman" w:hAnsi="Times New Roman"/>
                <w:color w:val="000000"/>
              </w:rPr>
              <w:t>1100540191</w:t>
            </w:r>
          </w:p>
          <w:p w14:paraId="248D22CB" w14:textId="61095B8F" w:rsidR="001F0060" w:rsidRPr="007B5EB3" w:rsidRDefault="001F0060" w:rsidP="00096F0C">
            <w:pPr>
              <w:rPr>
                <w:rFonts w:ascii="Times New Roman" w:hAnsi="Times New Roman"/>
                <w:color w:val="000000"/>
              </w:rPr>
            </w:pPr>
            <w:r w:rsidRPr="007B5EB3">
              <w:rPr>
                <w:rFonts w:ascii="Times New Roman" w:hAnsi="Times New Roman"/>
                <w:color w:val="000000"/>
              </w:rPr>
              <w:t>1100540192</w:t>
            </w:r>
          </w:p>
          <w:p w14:paraId="3F0A7822" w14:textId="1D12403A" w:rsidR="001F0060" w:rsidRPr="007B5EB3" w:rsidRDefault="001F0060" w:rsidP="00096F0C">
            <w:pPr>
              <w:rPr>
                <w:rFonts w:ascii="Times New Roman" w:hAnsi="Times New Roman"/>
                <w:color w:val="000000"/>
              </w:rPr>
            </w:pPr>
            <w:r w:rsidRPr="007B5EB3">
              <w:rPr>
                <w:rFonts w:ascii="Times New Roman" w:hAnsi="Times New Roman"/>
                <w:color w:val="000000"/>
              </w:rPr>
              <w:t>1100540201</w:t>
            </w:r>
          </w:p>
          <w:p w14:paraId="7A539C15" w14:textId="057E391A" w:rsidR="00096F0C" w:rsidRPr="007B5EB3" w:rsidRDefault="00096F0C" w:rsidP="00096F0C">
            <w:pPr>
              <w:rPr>
                <w:rFonts w:ascii="Times New Roman" w:hAnsi="Times New Roman"/>
                <w:color w:val="000000"/>
              </w:rPr>
            </w:pPr>
            <w:r w:rsidRPr="007B5EB3">
              <w:rPr>
                <w:rFonts w:ascii="Times New Roman" w:hAnsi="Times New Roman"/>
                <w:color w:val="000000"/>
              </w:rPr>
              <w:t>1100540197</w:t>
            </w:r>
          </w:p>
          <w:p w14:paraId="7497D187" w14:textId="426E0020" w:rsidR="00096F0C" w:rsidRPr="007B5EB3" w:rsidRDefault="00096F0C" w:rsidP="00096F0C">
            <w:pPr>
              <w:rPr>
                <w:rFonts w:ascii="Times New Roman" w:hAnsi="Times New Roman"/>
                <w:color w:val="000000"/>
              </w:rPr>
            </w:pPr>
            <w:r w:rsidRPr="007B5EB3">
              <w:rPr>
                <w:rFonts w:ascii="Times New Roman" w:hAnsi="Times New Roman"/>
                <w:color w:val="000000"/>
              </w:rPr>
              <w:t>1100540202</w:t>
            </w:r>
          </w:p>
          <w:p w14:paraId="7F4E2AA4" w14:textId="6C77E281" w:rsidR="00096F0C" w:rsidRPr="007B5EB3" w:rsidRDefault="00096F0C" w:rsidP="00096F0C">
            <w:pPr>
              <w:rPr>
                <w:rFonts w:ascii="Times New Roman" w:hAnsi="Times New Roman"/>
                <w:color w:val="000000"/>
              </w:rPr>
            </w:pPr>
            <w:r w:rsidRPr="007B5EB3">
              <w:rPr>
                <w:rFonts w:ascii="Times New Roman" w:hAnsi="Times New Roman"/>
                <w:color w:val="000000"/>
              </w:rPr>
              <w:t>1100540198</w:t>
            </w:r>
          </w:p>
          <w:p w14:paraId="74C6C67E" w14:textId="0179E3D4" w:rsidR="00096F0C" w:rsidRPr="007B5EB3" w:rsidRDefault="00096F0C" w:rsidP="00096F0C">
            <w:pPr>
              <w:rPr>
                <w:rFonts w:ascii="Times New Roman" w:hAnsi="Times New Roman"/>
                <w:color w:val="000000"/>
              </w:rPr>
            </w:pPr>
            <w:r w:rsidRPr="007B5EB3">
              <w:rPr>
                <w:rFonts w:ascii="Times New Roman" w:hAnsi="Times New Roman"/>
                <w:color w:val="000000"/>
              </w:rPr>
              <w:t>1100540203</w:t>
            </w:r>
          </w:p>
          <w:p w14:paraId="3C25E8D3" w14:textId="414ED53E" w:rsidR="00096F0C" w:rsidRPr="007B5EB3" w:rsidRDefault="00096F0C" w:rsidP="00096F0C">
            <w:pPr>
              <w:rPr>
                <w:rFonts w:ascii="Times New Roman" w:hAnsi="Times New Roman"/>
                <w:color w:val="000000"/>
              </w:rPr>
            </w:pPr>
            <w:r w:rsidRPr="007B5EB3">
              <w:rPr>
                <w:rFonts w:ascii="Times New Roman" w:hAnsi="Times New Roman"/>
                <w:color w:val="000000"/>
              </w:rPr>
              <w:t>1100920007</w:t>
            </w:r>
          </w:p>
          <w:p w14:paraId="08B9C5CA" w14:textId="3A6F287B" w:rsidR="00096F0C" w:rsidRPr="007B5EB3" w:rsidRDefault="00096F0C" w:rsidP="00096F0C">
            <w:pPr>
              <w:rPr>
                <w:rFonts w:ascii="Times New Roman" w:hAnsi="Times New Roman"/>
                <w:color w:val="000000"/>
              </w:rPr>
            </w:pPr>
            <w:r w:rsidRPr="007B5EB3">
              <w:rPr>
                <w:rFonts w:ascii="Times New Roman" w:hAnsi="Times New Roman"/>
                <w:color w:val="000000"/>
              </w:rPr>
              <w:t>1100540199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67F2D83F" w14:textId="4CED528C" w:rsidR="00096F0C" w:rsidRPr="007B5EB3" w:rsidRDefault="00096F0C" w:rsidP="00096F0C">
            <w:pPr>
              <w:rPr>
                <w:rFonts w:ascii="Times New Roman" w:hAnsi="Times New Roman"/>
                <w:color w:val="000000"/>
              </w:rPr>
            </w:pPr>
            <w:r w:rsidRPr="007B5EB3">
              <w:rPr>
                <w:rFonts w:ascii="Times New Roman" w:hAnsi="Times New Roman"/>
                <w:color w:val="000000"/>
              </w:rPr>
              <w:t>1100920008</w:t>
            </w:r>
          </w:p>
          <w:p w14:paraId="6A5ED096" w14:textId="46EB5DA3" w:rsidR="00096F0C" w:rsidRPr="007B5EB3" w:rsidRDefault="00096F0C" w:rsidP="00096F0C">
            <w:pPr>
              <w:rPr>
                <w:rFonts w:ascii="Times New Roman" w:hAnsi="Times New Roman"/>
                <w:color w:val="000000"/>
              </w:rPr>
            </w:pPr>
            <w:r w:rsidRPr="007B5EB3">
              <w:rPr>
                <w:rFonts w:ascii="Times New Roman" w:hAnsi="Times New Roman"/>
                <w:color w:val="000000"/>
              </w:rPr>
              <w:t>1100920006</w:t>
            </w:r>
          </w:p>
          <w:p w14:paraId="1FA7C812" w14:textId="58B0BA45" w:rsidR="00096F0C" w:rsidRPr="007B5EB3" w:rsidRDefault="00096F0C" w:rsidP="00096F0C">
            <w:pPr>
              <w:rPr>
                <w:rFonts w:ascii="Times New Roman" w:hAnsi="Times New Roman"/>
                <w:color w:val="000000"/>
              </w:rPr>
            </w:pPr>
            <w:r w:rsidRPr="007B5EB3">
              <w:rPr>
                <w:rFonts w:ascii="Times New Roman" w:hAnsi="Times New Roman"/>
                <w:color w:val="000000"/>
              </w:rPr>
              <w:t>1100920009</w:t>
            </w:r>
          </w:p>
          <w:p w14:paraId="0B9C4EC0" w14:textId="467C8832" w:rsidR="00096F0C" w:rsidRPr="007B5EB3" w:rsidRDefault="00096F0C" w:rsidP="00096F0C">
            <w:pPr>
              <w:rPr>
                <w:rFonts w:ascii="Times New Roman" w:hAnsi="Times New Roman"/>
                <w:color w:val="000000"/>
              </w:rPr>
            </w:pPr>
            <w:r w:rsidRPr="007B5EB3">
              <w:rPr>
                <w:rFonts w:ascii="Times New Roman" w:hAnsi="Times New Roman"/>
                <w:color w:val="000000"/>
              </w:rPr>
              <w:t>1100920005</w:t>
            </w:r>
          </w:p>
          <w:p w14:paraId="0685C1E4" w14:textId="6036BAF3" w:rsidR="00096F0C" w:rsidRPr="007B5EB3" w:rsidRDefault="00096F0C" w:rsidP="00096F0C">
            <w:pPr>
              <w:rPr>
                <w:rFonts w:ascii="Times New Roman" w:hAnsi="Times New Roman"/>
                <w:color w:val="000000"/>
              </w:rPr>
            </w:pPr>
            <w:r w:rsidRPr="007B5EB3">
              <w:rPr>
                <w:rFonts w:ascii="Times New Roman" w:hAnsi="Times New Roman"/>
                <w:color w:val="000000"/>
              </w:rPr>
              <w:t>1100920010</w:t>
            </w:r>
          </w:p>
          <w:p w14:paraId="2EAED9DD" w14:textId="299879C2" w:rsidR="001F0060" w:rsidRPr="007B5EB3" w:rsidRDefault="001F0060" w:rsidP="00096F0C">
            <w:pPr>
              <w:rPr>
                <w:rFonts w:ascii="Times New Roman" w:hAnsi="Times New Roman"/>
                <w:color w:val="000000"/>
              </w:rPr>
            </w:pPr>
            <w:r w:rsidRPr="007B5EB3">
              <w:rPr>
                <w:rFonts w:ascii="Times New Roman" w:hAnsi="Times New Roman"/>
                <w:color w:val="000000"/>
              </w:rPr>
              <w:t>1100920004</w:t>
            </w:r>
          </w:p>
          <w:p w14:paraId="546C0CC3" w14:textId="4960A090" w:rsidR="00096F0C" w:rsidRPr="007B5EB3" w:rsidRDefault="00096F0C" w:rsidP="00096F0C">
            <w:pPr>
              <w:rPr>
                <w:rFonts w:ascii="Times New Roman" w:hAnsi="Times New Roman"/>
                <w:color w:val="000000"/>
              </w:rPr>
            </w:pPr>
            <w:r w:rsidRPr="007B5EB3">
              <w:rPr>
                <w:rFonts w:ascii="Times New Roman" w:hAnsi="Times New Roman"/>
                <w:color w:val="000000"/>
              </w:rPr>
              <w:t>1100920003</w:t>
            </w:r>
          </w:p>
          <w:p w14:paraId="1AFC9D4A" w14:textId="06FAE446" w:rsidR="00096F0C" w:rsidRPr="007B5EB3" w:rsidRDefault="00096F0C" w:rsidP="00096F0C">
            <w:pPr>
              <w:rPr>
                <w:rFonts w:ascii="Times New Roman" w:hAnsi="Times New Roman"/>
                <w:color w:val="000000"/>
              </w:rPr>
            </w:pPr>
            <w:r w:rsidRPr="007B5EB3">
              <w:rPr>
                <w:rFonts w:ascii="Times New Roman" w:hAnsi="Times New Roman"/>
                <w:color w:val="000000"/>
              </w:rPr>
              <w:t>1100630314</w:t>
            </w:r>
          </w:p>
          <w:p w14:paraId="621408E0" w14:textId="1294834F" w:rsidR="00096F0C" w:rsidRPr="007B5EB3" w:rsidRDefault="00096F0C" w:rsidP="00096F0C">
            <w:pPr>
              <w:rPr>
                <w:rFonts w:ascii="Times New Roman" w:hAnsi="Times New Roman"/>
                <w:color w:val="000000"/>
              </w:rPr>
            </w:pPr>
            <w:r w:rsidRPr="007B5EB3">
              <w:rPr>
                <w:rFonts w:ascii="Times New Roman" w:hAnsi="Times New Roman"/>
                <w:color w:val="000000"/>
              </w:rPr>
              <w:t>1100630310</w:t>
            </w:r>
          </w:p>
          <w:p w14:paraId="6C85FDC8" w14:textId="26095D33" w:rsidR="00096F0C" w:rsidRPr="007B5EB3" w:rsidRDefault="00096F0C" w:rsidP="00500FD3">
            <w:pPr>
              <w:rPr>
                <w:rFonts w:ascii="Times New Roman" w:hAnsi="Times New Roman"/>
                <w:color w:val="000000"/>
              </w:rPr>
            </w:pPr>
            <w:r w:rsidRPr="007B5EB3">
              <w:rPr>
                <w:rFonts w:ascii="Times New Roman" w:hAnsi="Times New Roman"/>
                <w:color w:val="000000"/>
              </w:rPr>
              <w:t>1100630311</w:t>
            </w:r>
          </w:p>
          <w:p w14:paraId="5461AD6D"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2470644"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1100630308</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9C8261C"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1100630312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E6ADDFB"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1100630307</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4D2CFE8"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1100630313</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67EDC6F"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1100630306</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BDB708E"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1100630303</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0C79D673"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1100630305</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924AB9B"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1100630301</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ED82B21"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5FB7850"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1100630179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B438169"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1100630180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7C865A5"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1100630181</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3DF0563D"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1100630302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190966D" w14:textId="1C105E27" w:rsidR="00500FD3" w:rsidRPr="007B5EB3" w:rsidRDefault="00500FD3" w:rsidP="00500FD3">
            <w:pPr>
              <w:rPr>
                <w:rFonts w:ascii="Times New Roman" w:hAnsi="Times New Roman"/>
                <w:color w:val="000000"/>
              </w:rPr>
            </w:pPr>
            <w:r w:rsidRPr="007B5EB3">
              <w:rPr>
                <w:rFonts w:ascii="Times New Roman" w:hAnsi="Times New Roman"/>
                <w:color w:val="000000"/>
              </w:rPr>
              <w:t>1100630182</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228CF308" w14:textId="2ED1EA2C" w:rsidR="00500FD3" w:rsidRPr="007B5EB3" w:rsidRDefault="00500FD3" w:rsidP="00500FD3">
            <w:pPr>
              <w:rPr>
                <w:rFonts w:ascii="Times New Roman" w:hAnsi="Times New Roman"/>
                <w:color w:val="000000"/>
              </w:rPr>
            </w:pPr>
            <w:r w:rsidRPr="007B5EB3">
              <w:rPr>
                <w:rFonts w:ascii="Times New Roman" w:hAnsi="Times New Roman"/>
                <w:color w:val="000000"/>
              </w:rPr>
              <w:t>1101000020</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454473C"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1101000064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003D8DA9"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1101000065</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54703D19"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1101000019</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70E4C478"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1101000017</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13521666"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1101000016</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F32029F"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1101000015</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4C9B771C" w14:textId="77777777" w:rsidR="00500FD3" w:rsidRPr="007B5EB3" w:rsidRDefault="00500FD3" w:rsidP="00500FD3">
            <w:pPr>
              <w:rPr>
                <w:rFonts w:ascii="Times New Roman" w:hAnsi="Times New Roman"/>
                <w:color w:val="000000"/>
              </w:rPr>
            </w:pPr>
            <w:r w:rsidRPr="007B5EB3">
              <w:rPr>
                <w:rFonts w:ascii="Times New Roman" w:hAnsi="Times New Roman"/>
                <w:color w:val="000000"/>
              </w:rPr>
              <w:t>1101000014</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033555DA" w14:textId="34D93472" w:rsidR="00500FD3" w:rsidRPr="007B5EB3" w:rsidRDefault="00500FD3" w:rsidP="00500FD3">
            <w:pPr>
              <w:rPr>
                <w:rFonts w:ascii="Times New Roman" w:hAnsi="Times New Roman"/>
                <w:color w:val="000000"/>
              </w:rPr>
            </w:pPr>
            <w:r w:rsidRPr="007B5EB3">
              <w:rPr>
                <w:rFonts w:ascii="Times New Roman" w:hAnsi="Times New Roman"/>
                <w:color w:val="000000"/>
              </w:rPr>
              <w:t>1101000091</w:t>
            </w:r>
          </w:p>
          <w:p w14:paraId="1BFC137F" w14:textId="0C445774" w:rsidR="00BC76DB" w:rsidRPr="007B5EB3" w:rsidRDefault="00500FD3" w:rsidP="00500FD3">
            <w:pPr>
              <w:rPr>
                <w:rFonts w:ascii="Times New Roman" w:hAnsi="Times New Roman"/>
                <w:color w:val="000000"/>
              </w:rPr>
            </w:pPr>
            <w:r w:rsidRPr="007B5EB3">
              <w:rPr>
                <w:rFonts w:ascii="Times New Roman" w:hAnsi="Times New Roman"/>
                <w:color w:val="000000"/>
              </w:rPr>
              <w:t>1101000033</w:t>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r w:rsidRPr="007B5EB3">
              <w:rPr>
                <w:rFonts w:ascii="Times New Roman" w:hAnsi="Times New Roman"/>
                <w:color w:val="000000"/>
              </w:rPr>
              <w:tab/>
            </w:r>
          </w:p>
          <w:p w14:paraId="6D9E18D7" w14:textId="652BDD46" w:rsidR="00BC76DB" w:rsidRPr="007B5EB3" w:rsidRDefault="00BC76DB" w:rsidP="00BC76DB">
            <w:pPr>
              <w:rPr>
                <w:rFonts w:ascii="Times New Roman" w:hAnsi="Times New Roman"/>
                <w:color w:val="000000"/>
              </w:rPr>
            </w:pPr>
          </w:p>
          <w:p w14:paraId="5ED4B94B" w14:textId="21D55D8C" w:rsidR="00BC76DB" w:rsidRPr="007B5EB3" w:rsidRDefault="00BC76DB" w:rsidP="00BC76DB">
            <w:pPr>
              <w:rPr>
                <w:rFonts w:ascii="Times New Roman" w:hAnsi="Times New Roman"/>
                <w:color w:val="000000"/>
              </w:rPr>
            </w:pPr>
          </w:p>
          <w:p w14:paraId="11727B89" w14:textId="6FF9E8AB" w:rsidR="00BC76DB" w:rsidRPr="007B5EB3" w:rsidRDefault="00BC76DB" w:rsidP="00BC76DB">
            <w:pPr>
              <w:rPr>
                <w:rFonts w:ascii="Times New Roman" w:hAnsi="Times New Roman"/>
                <w:color w:val="000000"/>
              </w:rPr>
            </w:pPr>
          </w:p>
          <w:p w14:paraId="615FE746" w14:textId="37384BB6" w:rsidR="00BC76DB" w:rsidRPr="007B5EB3" w:rsidRDefault="00BC76DB" w:rsidP="00BC76DB">
            <w:pPr>
              <w:rPr>
                <w:rFonts w:ascii="Times New Roman" w:hAnsi="Times New Roman"/>
                <w:color w:val="000000"/>
              </w:rPr>
            </w:pPr>
          </w:p>
          <w:p w14:paraId="05BD5272" w14:textId="77777777" w:rsidR="00BC76DB" w:rsidRPr="007B5EB3" w:rsidRDefault="00BC76DB" w:rsidP="00BC76DB">
            <w:pPr>
              <w:rPr>
                <w:rFonts w:ascii="Times New Roman" w:hAnsi="Times New Roman"/>
                <w:color w:val="000000"/>
              </w:rPr>
            </w:pPr>
          </w:p>
          <w:p w14:paraId="79E40436" w14:textId="0F26F310" w:rsidR="002D12C9" w:rsidRPr="007B5EB3" w:rsidRDefault="002D12C9" w:rsidP="00D535C2">
            <w:pPr>
              <w:rPr>
                <w:rFonts w:ascii="Times New Roman" w:hAnsi="Times New Roman"/>
                <w:color w:val="000000"/>
              </w:rPr>
            </w:pPr>
          </w:p>
        </w:tc>
      </w:tr>
      <w:tr w:rsidR="008747D8" w:rsidRPr="00D535C2" w14:paraId="54EEE6F4" w14:textId="77777777" w:rsidTr="002D12C9">
        <w:trPr>
          <w:trHeight w:val="300"/>
        </w:trPr>
        <w:tc>
          <w:tcPr>
            <w:tcW w:w="3540" w:type="dxa"/>
            <w:tcBorders>
              <w:top w:val="nil"/>
              <w:left w:val="nil"/>
              <w:bottom w:val="nil"/>
              <w:right w:val="nil"/>
            </w:tcBorders>
            <w:shd w:val="clear" w:color="auto" w:fill="auto"/>
            <w:noWrap/>
            <w:vAlign w:val="bottom"/>
          </w:tcPr>
          <w:p w14:paraId="590CA3A5" w14:textId="1B3C8995" w:rsidR="008747D8" w:rsidRPr="00D535C2" w:rsidRDefault="008747D8" w:rsidP="00D535C2">
            <w:pPr>
              <w:rPr>
                <w:rFonts w:ascii="Times New Roman" w:hAnsi="Times New Roman"/>
                <w:color w:val="000000"/>
              </w:rPr>
            </w:pPr>
          </w:p>
        </w:tc>
      </w:tr>
    </w:tbl>
    <w:p w14:paraId="732D58A6" w14:textId="2DAECAA6"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25A0FCFA" w14:textId="2C15BEEA"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949E468" w14:textId="02CC5BFA"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74F13266" w14:textId="6427762E"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58EDAEAE" w14:textId="31533F99"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1BBAA1F" w14:textId="777A436C" w:rsidR="002C1CC7" w:rsidRDefault="002C1CC7" w:rsidP="004406F7">
      <w:pPr>
        <w:tabs>
          <w:tab w:val="left" w:pos="720"/>
          <w:tab w:val="left" w:pos="1440"/>
          <w:tab w:val="left" w:pos="2160"/>
        </w:tabs>
        <w:spacing w:line="360" w:lineRule="auto"/>
        <w:ind w:firstLine="720"/>
        <w:jc w:val="center"/>
        <w:rPr>
          <w:rFonts w:ascii="Courier New" w:hAnsi="Courier New" w:cs="Courier New"/>
          <w:bCs/>
          <w:caps/>
        </w:rPr>
      </w:pPr>
    </w:p>
    <w:p w14:paraId="62B3BC73" w14:textId="77777777" w:rsidR="002C1CC7" w:rsidRPr="000C0C22" w:rsidRDefault="002C1CC7" w:rsidP="005301D5">
      <w:pPr>
        <w:tabs>
          <w:tab w:val="left" w:pos="720"/>
          <w:tab w:val="left" w:pos="1440"/>
          <w:tab w:val="left" w:pos="2160"/>
        </w:tabs>
        <w:spacing w:line="360" w:lineRule="auto"/>
        <w:rPr>
          <w:rFonts w:ascii="Courier New" w:hAnsi="Courier New" w:cs="Courier New"/>
          <w:bCs/>
          <w:caps/>
        </w:rPr>
      </w:pPr>
    </w:p>
    <w:sectPr w:rsidR="002C1CC7" w:rsidRPr="000C0C22" w:rsidSect="004406F7">
      <w:type w:val="continuous"/>
      <w:pgSz w:w="12240" w:h="15840" w:code="1"/>
      <w:pgMar w:top="1440" w:right="1800" w:bottom="1440" w:left="1800" w:header="720" w:footer="720" w:gutter="0"/>
      <w:paperSrc w:first="263" w:other="263"/>
      <w:pgNumType w:start="1"/>
      <w:cols w:num="3"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07ED" w14:textId="77777777" w:rsidR="002C1CC7" w:rsidRDefault="002C1CC7" w:rsidP="008D678D">
      <w:r>
        <w:separator/>
      </w:r>
    </w:p>
  </w:endnote>
  <w:endnote w:type="continuationSeparator" w:id="0">
    <w:p w14:paraId="776E3A2F" w14:textId="77777777" w:rsidR="002C1CC7" w:rsidRDefault="002C1CC7"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D084" w14:textId="77777777" w:rsidR="002C1CC7" w:rsidRDefault="002C1CC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436E086F" w14:textId="77777777" w:rsidR="002C1CC7" w:rsidRDefault="002C1CC7">
    <w:pPr>
      <w:pStyle w:val="Footer"/>
      <w:rPr>
        <w:sz w:val="21"/>
        <w:szCs w:val="21"/>
      </w:rPr>
    </w:pPr>
  </w:p>
  <w:p w14:paraId="6F4651CE" w14:textId="77777777" w:rsidR="002C1CC7" w:rsidRDefault="002C1C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0371"/>
      <w:docPartObj>
        <w:docPartGallery w:val="Page Numbers (Bottom of Page)"/>
        <w:docPartUnique/>
      </w:docPartObj>
    </w:sdtPr>
    <w:sdtEndPr>
      <w:rPr>
        <w:rFonts w:ascii="Times New Roman" w:hAnsi="Times New Roman"/>
        <w:noProof/>
      </w:rPr>
    </w:sdtEndPr>
    <w:sdtContent>
      <w:p w14:paraId="13AED977" w14:textId="65979FD2" w:rsidR="00F260D8" w:rsidRDefault="00F260D8">
        <w:pPr>
          <w:pStyle w:val="Footer"/>
          <w:jc w:val="center"/>
        </w:pPr>
        <w:r w:rsidRPr="00BB7A8C">
          <w:rPr>
            <w:rFonts w:ascii="Times New Roman" w:hAnsi="Times New Roman"/>
          </w:rPr>
          <w:fldChar w:fldCharType="begin"/>
        </w:r>
        <w:r w:rsidRPr="00BB7A8C">
          <w:rPr>
            <w:rFonts w:ascii="Times New Roman" w:hAnsi="Times New Roman"/>
          </w:rPr>
          <w:instrText xml:space="preserve"> PAGE   \* MERGEFORMAT </w:instrText>
        </w:r>
        <w:r w:rsidRPr="00BB7A8C">
          <w:rPr>
            <w:rFonts w:ascii="Times New Roman" w:hAnsi="Times New Roman"/>
          </w:rPr>
          <w:fldChar w:fldCharType="separate"/>
        </w:r>
        <w:r w:rsidRPr="00BB7A8C">
          <w:rPr>
            <w:rFonts w:ascii="Times New Roman" w:hAnsi="Times New Roman"/>
            <w:noProof/>
          </w:rPr>
          <w:t>2</w:t>
        </w:r>
        <w:r w:rsidRPr="00BB7A8C">
          <w:rPr>
            <w:rFonts w:ascii="Times New Roman" w:hAnsi="Times New Roman"/>
            <w:noProof/>
          </w:rPr>
          <w:fldChar w:fldCharType="end"/>
        </w:r>
      </w:p>
    </w:sdtContent>
  </w:sdt>
  <w:p w14:paraId="6BB42758" w14:textId="77777777" w:rsidR="002C1CC7" w:rsidRDefault="002C1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5BF1" w14:textId="77777777" w:rsidR="002C1CC7" w:rsidRDefault="002C1CC7" w:rsidP="008D678D">
      <w:r>
        <w:separator/>
      </w:r>
    </w:p>
  </w:footnote>
  <w:footnote w:type="continuationSeparator" w:id="0">
    <w:p w14:paraId="2F5ABCD5" w14:textId="77777777" w:rsidR="002C1CC7" w:rsidRDefault="002C1CC7" w:rsidP="008D678D">
      <w:r>
        <w:continuationSeparator/>
      </w:r>
    </w:p>
  </w:footnote>
  <w:footnote w:id="1">
    <w:p w14:paraId="4DC89E94" w14:textId="0D66672B" w:rsidR="00020F76" w:rsidRPr="00F84A19" w:rsidRDefault="00020F76" w:rsidP="00F84A19">
      <w:pPr>
        <w:pStyle w:val="FootnoteText"/>
        <w:jc w:val="both"/>
        <w:rPr>
          <w:rFonts w:ascii="Times New Roman" w:hAnsi="Times New Roman"/>
          <w:sz w:val="22"/>
          <w:szCs w:val="22"/>
        </w:rPr>
      </w:pPr>
      <w:r w:rsidRPr="00F84A19">
        <w:rPr>
          <w:rStyle w:val="FootnoteReference"/>
          <w:rFonts w:ascii="Times New Roman" w:hAnsi="Times New Roman"/>
          <w:sz w:val="22"/>
          <w:szCs w:val="22"/>
        </w:rPr>
        <w:footnoteRef/>
      </w:r>
      <w:r w:rsidRPr="00F84A19">
        <w:rPr>
          <w:rFonts w:ascii="Times New Roman" w:hAnsi="Times New Roman"/>
          <w:sz w:val="22"/>
          <w:szCs w:val="22"/>
        </w:rPr>
        <w:t xml:space="preserve"> Veolia is a public utility as defined in 26 </w:t>
      </w:r>
      <w:r w:rsidRPr="00F84A19">
        <w:rPr>
          <w:rFonts w:ascii="Times New Roman" w:hAnsi="Times New Roman"/>
          <w:i/>
          <w:iCs/>
          <w:sz w:val="22"/>
          <w:szCs w:val="22"/>
        </w:rPr>
        <w:t>Del. C.</w:t>
      </w:r>
      <w:r w:rsidRPr="00F84A19">
        <w:rPr>
          <w:rFonts w:ascii="Times New Roman" w:hAnsi="Times New Roman"/>
          <w:sz w:val="22"/>
          <w:szCs w:val="22"/>
        </w:rPr>
        <w:t xml:space="preserve"> § 102(2).</w:t>
      </w:r>
    </w:p>
  </w:footnote>
  <w:footnote w:id="2">
    <w:p w14:paraId="165081E8" w14:textId="56D36BAF" w:rsidR="00020F76" w:rsidRDefault="00020F76" w:rsidP="00F84A19">
      <w:pPr>
        <w:pStyle w:val="FootnoteText"/>
        <w:jc w:val="both"/>
      </w:pPr>
      <w:r w:rsidRPr="00F84A19">
        <w:rPr>
          <w:rStyle w:val="FootnoteReference"/>
          <w:rFonts w:ascii="Times New Roman" w:hAnsi="Times New Roman"/>
          <w:sz w:val="22"/>
          <w:szCs w:val="22"/>
        </w:rPr>
        <w:footnoteRef/>
      </w:r>
      <w:r w:rsidRPr="00F84A19">
        <w:rPr>
          <w:rFonts w:ascii="Times New Roman" w:hAnsi="Times New Roman"/>
          <w:sz w:val="22"/>
          <w:szCs w:val="22"/>
        </w:rPr>
        <w:t xml:space="preserve"> The City of Newark is a municipal corporation of the State of Delaware that provides water service within and outside of the municipal limits of Newark through its Department of Public Works and Water Resources as a municipal public utility pursuant to the City of Newark Charter and applicable law, and is therefore a public utility as defined in 26 </w:t>
      </w:r>
      <w:r w:rsidRPr="00F84A19">
        <w:rPr>
          <w:rFonts w:ascii="Times New Roman" w:hAnsi="Times New Roman"/>
          <w:i/>
          <w:iCs/>
          <w:sz w:val="22"/>
          <w:szCs w:val="22"/>
        </w:rPr>
        <w:t>Del. C.</w:t>
      </w:r>
      <w:r w:rsidRPr="00F84A19">
        <w:rPr>
          <w:rFonts w:ascii="Times New Roman" w:hAnsi="Times New Roman"/>
          <w:sz w:val="22"/>
          <w:szCs w:val="22"/>
        </w:rPr>
        <w:t xml:space="preserve"> § 102(2).</w:t>
      </w:r>
    </w:p>
  </w:footnote>
  <w:footnote w:id="3">
    <w:p w14:paraId="3C9DE8E6" w14:textId="77777777" w:rsidR="00F16915" w:rsidRPr="00F84A19" w:rsidRDefault="00F16915" w:rsidP="00F16915">
      <w:pPr>
        <w:pStyle w:val="FootnoteText"/>
        <w:jc w:val="both"/>
        <w:rPr>
          <w:rFonts w:ascii="Times New Roman" w:hAnsi="Times New Roman"/>
          <w:sz w:val="22"/>
          <w:szCs w:val="22"/>
        </w:rPr>
      </w:pPr>
      <w:r w:rsidRPr="00F84A19">
        <w:rPr>
          <w:rStyle w:val="FootnoteReference"/>
          <w:rFonts w:ascii="Times New Roman" w:hAnsi="Times New Roman"/>
          <w:sz w:val="22"/>
          <w:szCs w:val="22"/>
        </w:rPr>
        <w:footnoteRef/>
      </w:r>
      <w:r w:rsidRPr="00F84A19">
        <w:rPr>
          <w:rFonts w:ascii="Times New Roman" w:hAnsi="Times New Roman"/>
          <w:sz w:val="22"/>
          <w:szCs w:val="22"/>
        </w:rPr>
        <w:t xml:space="preserve"> </w:t>
      </w:r>
      <w:r w:rsidRPr="00F84A19">
        <w:rPr>
          <w:rFonts w:ascii="Times New Roman" w:hAnsi="Times New Roman"/>
          <w:i/>
          <w:iCs/>
          <w:sz w:val="22"/>
          <w:szCs w:val="22"/>
        </w:rPr>
        <w:t>See</w:t>
      </w:r>
      <w:r w:rsidRPr="00F84A19">
        <w:rPr>
          <w:rFonts w:ascii="Times New Roman" w:hAnsi="Times New Roman"/>
          <w:sz w:val="22"/>
          <w:szCs w:val="22"/>
        </w:rPr>
        <w:t xml:space="preserve"> PSC Docket 23-1165 Application, Exhibit “A.” for pertinent provisions of the 1925 General Assembly authorization.</w:t>
      </w:r>
    </w:p>
  </w:footnote>
  <w:footnote w:id="4">
    <w:p w14:paraId="10FC91D4" w14:textId="77777777" w:rsidR="00F16915" w:rsidRPr="00F84A19" w:rsidRDefault="00F16915" w:rsidP="00F16915">
      <w:pPr>
        <w:pStyle w:val="FootnoteText"/>
        <w:jc w:val="both"/>
        <w:rPr>
          <w:rFonts w:ascii="Times New Roman" w:hAnsi="Times New Roman"/>
          <w:sz w:val="22"/>
          <w:szCs w:val="22"/>
        </w:rPr>
      </w:pPr>
      <w:r w:rsidRPr="00F84A19">
        <w:rPr>
          <w:rStyle w:val="FootnoteReference"/>
          <w:rFonts w:ascii="Times New Roman" w:hAnsi="Times New Roman"/>
          <w:sz w:val="22"/>
          <w:szCs w:val="22"/>
        </w:rPr>
        <w:footnoteRef/>
      </w:r>
      <w:r w:rsidRPr="00F84A19">
        <w:rPr>
          <w:rFonts w:ascii="Times New Roman" w:hAnsi="Times New Roman"/>
          <w:sz w:val="22"/>
          <w:szCs w:val="22"/>
        </w:rPr>
        <w:t xml:space="preserve"> </w:t>
      </w:r>
      <w:r w:rsidRPr="00F84A19">
        <w:rPr>
          <w:rFonts w:ascii="Times New Roman" w:hAnsi="Times New Roman"/>
          <w:i/>
          <w:iCs/>
          <w:sz w:val="22"/>
          <w:szCs w:val="22"/>
        </w:rPr>
        <w:t>See</w:t>
      </w:r>
      <w:r w:rsidRPr="00F84A19">
        <w:rPr>
          <w:rFonts w:ascii="Times New Roman" w:hAnsi="Times New Roman"/>
          <w:sz w:val="22"/>
          <w:szCs w:val="22"/>
        </w:rPr>
        <w:t xml:space="preserve"> PSC Docket 23-1165 Application, Exhibit “B.” for pertinent provisions of the City of Newark’s 1955 Charter Amendment.</w:t>
      </w:r>
    </w:p>
  </w:footnote>
  <w:footnote w:id="5">
    <w:p w14:paraId="4473366D" w14:textId="77777777" w:rsidR="00F16915" w:rsidRPr="001D13CB" w:rsidRDefault="00F16915" w:rsidP="00F16915">
      <w:pPr>
        <w:pStyle w:val="FootnoteText"/>
        <w:jc w:val="both"/>
        <w:rPr>
          <w:sz w:val="22"/>
          <w:szCs w:val="22"/>
        </w:rPr>
      </w:pPr>
      <w:r w:rsidRPr="00F84A19">
        <w:rPr>
          <w:rStyle w:val="FootnoteReference"/>
          <w:rFonts w:ascii="Times New Roman" w:hAnsi="Times New Roman"/>
          <w:sz w:val="22"/>
          <w:szCs w:val="22"/>
        </w:rPr>
        <w:footnoteRef/>
      </w:r>
      <w:r w:rsidRPr="00F84A19">
        <w:rPr>
          <w:rFonts w:ascii="Times New Roman" w:hAnsi="Times New Roman"/>
          <w:sz w:val="22"/>
          <w:szCs w:val="22"/>
        </w:rPr>
        <w:t xml:space="preserve"> </w:t>
      </w:r>
      <w:r w:rsidRPr="00F84A19">
        <w:rPr>
          <w:rFonts w:ascii="Times New Roman" w:hAnsi="Times New Roman"/>
          <w:i/>
          <w:iCs/>
          <w:sz w:val="22"/>
          <w:szCs w:val="22"/>
        </w:rPr>
        <w:t>See</w:t>
      </w:r>
      <w:r w:rsidRPr="00F84A19">
        <w:rPr>
          <w:rFonts w:ascii="Times New Roman" w:hAnsi="Times New Roman"/>
          <w:sz w:val="22"/>
          <w:szCs w:val="22"/>
        </w:rPr>
        <w:t xml:space="preserve"> Newark City Charter § 405.</w:t>
      </w:r>
    </w:p>
  </w:footnote>
  <w:footnote w:id="6">
    <w:p w14:paraId="165036A0" w14:textId="61178351" w:rsidR="005A7BF7" w:rsidRDefault="005A7BF7" w:rsidP="001D47FF">
      <w:pPr>
        <w:pStyle w:val="FootnoteText"/>
        <w:jc w:val="both"/>
      </w:pPr>
      <w:r>
        <w:rPr>
          <w:rStyle w:val="FootnoteReference"/>
        </w:rPr>
        <w:footnoteRef/>
      </w:r>
      <w:r>
        <w:t xml:space="preserve"> </w:t>
      </w:r>
      <w:bookmarkStart w:id="3" w:name="_Hlk144456511"/>
      <w:r w:rsidRPr="001D13CB">
        <w:rPr>
          <w:rFonts w:ascii="Times New Roman" w:hAnsi="Times New Roman"/>
          <w:sz w:val="22"/>
          <w:szCs w:val="22"/>
        </w:rPr>
        <w:t xml:space="preserve">26 </w:t>
      </w:r>
      <w:r w:rsidRPr="001D13CB">
        <w:rPr>
          <w:rFonts w:ascii="Times New Roman" w:hAnsi="Times New Roman"/>
          <w:i/>
          <w:iCs/>
          <w:sz w:val="22"/>
          <w:szCs w:val="22"/>
        </w:rPr>
        <w:t>Del. Admin. C.</w:t>
      </w:r>
      <w:r w:rsidRPr="001D13CB">
        <w:rPr>
          <w:rFonts w:ascii="Times New Roman" w:hAnsi="Times New Roman"/>
          <w:sz w:val="22"/>
          <w:szCs w:val="22"/>
        </w:rPr>
        <w:t xml:space="preserve"> § 2001-</w:t>
      </w:r>
      <w:r w:rsidRPr="001D13CB">
        <w:rPr>
          <w:rFonts w:ascii="Times New Roman" w:hAnsi="Times New Roman"/>
          <w:color w:val="000000"/>
          <w:sz w:val="22"/>
          <w:szCs w:val="22"/>
          <w:bdr w:val="none" w:sz="0" w:space="0" w:color="auto" w:frame="1"/>
          <w:shd w:val="clear" w:color="auto" w:fill="FFFFFF"/>
        </w:rPr>
        <w:t xml:space="preserve">2.4.4 </w:t>
      </w:r>
      <w:bookmarkEnd w:id="3"/>
      <w:r w:rsidRPr="001D13CB">
        <w:rPr>
          <w:rFonts w:ascii="Times New Roman" w:hAnsi="Times New Roman"/>
          <w:color w:val="000000"/>
          <w:sz w:val="22"/>
          <w:szCs w:val="22"/>
          <w:bdr w:val="none" w:sz="0" w:space="0" w:color="auto" w:frame="1"/>
          <w:shd w:val="clear" w:color="auto" w:fill="FFFFFF"/>
        </w:rPr>
        <w:t>provides that information to be filed with the Commission</w:t>
      </w:r>
      <w:r w:rsidRPr="001D13CB">
        <w:rPr>
          <w:rFonts w:ascii="Times New Roman" w:hAnsi="Times New Roman"/>
          <w:color w:val="000000"/>
          <w:sz w:val="22"/>
          <w:szCs w:val="22"/>
        </w:rPr>
        <w:t xml:space="preserve"> includes public utilities</w:t>
      </w:r>
      <w:r w:rsidRPr="001D13CB">
        <w:rPr>
          <w:rFonts w:ascii="Times New Roman" w:hAnsi="Times New Roman"/>
          <w:color w:val="000000"/>
          <w:sz w:val="22"/>
          <w:szCs w:val="22"/>
          <w:bdr w:val="none" w:sz="0" w:space="0" w:color="auto" w:frame="1"/>
          <w:shd w:val="clear" w:color="auto" w:fill="FFFFFF"/>
        </w:rPr>
        <w:t xml:space="preserve"> system map(s)</w:t>
      </w:r>
      <w:r w:rsidRPr="008160A4">
        <w:rPr>
          <w:rFonts w:ascii="Times New Roman" w:hAnsi="Times New Roman"/>
          <w:color w:val="000000"/>
          <w:sz w:val="22"/>
          <w:szCs w:val="22"/>
          <w:bdr w:val="none" w:sz="0" w:space="0" w:color="auto" w:frame="1"/>
          <w:shd w:val="clear" w:color="auto" w:fill="FFFFFF"/>
        </w:rPr>
        <w:t>,</w:t>
      </w:r>
      <w:r w:rsidRPr="001D13CB">
        <w:rPr>
          <w:rFonts w:ascii="Times New Roman" w:hAnsi="Times New Roman"/>
          <w:color w:val="000000"/>
          <w:sz w:val="22"/>
          <w:szCs w:val="22"/>
          <w:bdr w:val="none" w:sz="0" w:space="0" w:color="auto" w:frame="1"/>
          <w:shd w:val="clear" w:color="auto" w:fill="FFFFFF"/>
        </w:rPr>
        <w:t xml:space="preserve"> “Each utility shall file with the Commission a map showing the utility's water system, scale 1″ = 1 mile or less, e.g. 1″ = 2000 feet. </w:t>
      </w:r>
      <w:r w:rsidRPr="001D13CB">
        <w:rPr>
          <w:rFonts w:ascii="Times New Roman" w:hAnsi="Times New Roman"/>
          <w:i/>
          <w:iCs/>
          <w:color w:val="000000"/>
          <w:sz w:val="22"/>
          <w:szCs w:val="22"/>
          <w:bdr w:val="none" w:sz="0" w:space="0" w:color="auto" w:frame="1"/>
          <w:shd w:val="clear" w:color="auto" w:fill="FFFFFF"/>
        </w:rPr>
        <w:t>Such map shall be revised annually unless such revision is unnecessary in which event the utility shall notify the Commission that the map on file is current</w:t>
      </w:r>
      <w:r w:rsidRPr="001D13CB">
        <w:rPr>
          <w:rFonts w:ascii="Times New Roman" w:hAnsi="Times New Roman"/>
          <w:color w:val="000000"/>
          <w:sz w:val="22"/>
          <w:szCs w:val="22"/>
          <w:bdr w:val="none" w:sz="0" w:space="0" w:color="auto" w:frame="1"/>
          <w:shd w:val="clear" w:color="auto" w:fill="FFFFFF"/>
        </w:rPr>
        <w:t>. The map should show:</w:t>
      </w:r>
      <w:r w:rsidRPr="001D13CB">
        <w:rPr>
          <w:rFonts w:ascii="Times New Roman" w:hAnsi="Times New Roman"/>
          <w:color w:val="000000"/>
          <w:sz w:val="22"/>
          <w:szCs w:val="22"/>
        </w:rPr>
        <w:t xml:space="preserve"> 2.4.4.1 the location of pumping stations, treatment plants, and sources of supply; 2.4.4.2 storage facilities; 2.4.4.3 mains 8 inches or larger; 2.4.4.4 service area.”</w:t>
      </w:r>
      <w:r w:rsidRPr="008160A4">
        <w:rPr>
          <w:rFonts w:ascii="Times New Roman" w:hAnsi="Times New Roman"/>
          <w:color w:val="000000"/>
          <w:sz w:val="22"/>
          <w:szCs w:val="22"/>
        </w:rPr>
        <w:t xml:space="preserve">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A578" w14:textId="21ACC5BD" w:rsidR="002C1CC7" w:rsidRPr="006A1B9F" w:rsidRDefault="002C1CC7" w:rsidP="00323288">
    <w:pPr>
      <w:pStyle w:val="Header"/>
      <w:tabs>
        <w:tab w:val="clear" w:pos="4320"/>
        <w:tab w:val="clear" w:pos="8640"/>
      </w:tabs>
      <w:rPr>
        <w:rFonts w:ascii="Times New Roman" w:hAnsi="Times New Roman" w:cs="Courier New"/>
        <w:sz w:val="20"/>
        <w:szCs w:val="20"/>
      </w:rPr>
    </w:pPr>
    <w:r w:rsidRPr="006A1B9F">
      <w:rPr>
        <w:rFonts w:ascii="Times New Roman" w:hAnsi="Times New Roman" w:cs="Courier New"/>
        <w:sz w:val="22"/>
        <w:szCs w:val="22"/>
      </w:rPr>
      <w:t xml:space="preserve">PSC Docket No. </w:t>
    </w:r>
    <w:r w:rsidR="00423173">
      <w:rPr>
        <w:rFonts w:ascii="Times New Roman" w:hAnsi="Times New Roman" w:cs="Courier New"/>
        <w:sz w:val="22"/>
        <w:szCs w:val="22"/>
      </w:rPr>
      <w:t>23-</w:t>
    </w:r>
    <w:r w:rsidR="00256617">
      <w:rPr>
        <w:rFonts w:ascii="Times New Roman" w:hAnsi="Times New Roman" w:cs="Courier New"/>
        <w:sz w:val="22"/>
        <w:szCs w:val="22"/>
      </w:rPr>
      <w:t>11</w:t>
    </w:r>
    <w:r w:rsidR="00423173">
      <w:rPr>
        <w:rFonts w:ascii="Times New Roman" w:hAnsi="Times New Roman" w:cs="Courier New"/>
        <w:sz w:val="22"/>
        <w:szCs w:val="22"/>
      </w:rPr>
      <w:t>65</w:t>
    </w:r>
    <w:r w:rsidRPr="006A1B9F">
      <w:rPr>
        <w:rFonts w:ascii="Times New Roman" w:hAnsi="Times New Roman" w:cs="Courier New"/>
        <w:sz w:val="22"/>
        <w:szCs w:val="22"/>
      </w:rPr>
      <w:t xml:space="preserve">, Order No. </w:t>
    </w:r>
    <w:r w:rsidR="002D12C9">
      <w:rPr>
        <w:rFonts w:ascii="Times New Roman" w:hAnsi="Times New Roman" w:cs="Courier New"/>
        <w:sz w:val="22"/>
        <w:szCs w:val="22"/>
      </w:rPr>
      <w:t>10</w:t>
    </w:r>
    <w:r w:rsidR="00EE51FE">
      <w:rPr>
        <w:rFonts w:ascii="Times New Roman" w:hAnsi="Times New Roman" w:cs="Courier New"/>
        <w:sz w:val="22"/>
        <w:szCs w:val="22"/>
      </w:rPr>
      <w:t xml:space="preserve">297 </w:t>
    </w:r>
    <w:r w:rsidRPr="006A1B9F">
      <w:rPr>
        <w:rFonts w:ascii="Times New Roman" w:hAnsi="Times New Roman" w:cs="Courier New"/>
        <w:sz w:val="22"/>
        <w:szCs w:val="22"/>
      </w:rPr>
      <w:t>Cont’d</w:t>
    </w:r>
  </w:p>
  <w:p w14:paraId="1DC6C829" w14:textId="77777777" w:rsidR="002C1CC7" w:rsidRDefault="002C1C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4696"/>
    <w:multiLevelType w:val="hybridMultilevel"/>
    <w:tmpl w:val="43A6ABD2"/>
    <w:lvl w:ilvl="0" w:tplc="3A2E4E7C">
      <w:start w:val="1"/>
      <w:numFmt w:val="decimal"/>
      <w:lvlText w:val="%1."/>
      <w:lvlJc w:val="left"/>
      <w:pPr>
        <w:ind w:left="1665" w:hanging="661"/>
      </w:pPr>
      <w:rPr>
        <w:rFonts w:ascii="Courier New" w:eastAsia="Courier New" w:hAnsi="Courier New" w:hint="default"/>
        <w:color w:val="75797B"/>
        <w:w w:val="102"/>
        <w:sz w:val="20"/>
        <w:szCs w:val="20"/>
      </w:rPr>
    </w:lvl>
    <w:lvl w:ilvl="1" w:tplc="80B2CFFA">
      <w:start w:val="4"/>
      <w:numFmt w:val="decimal"/>
      <w:lvlText w:val="%2."/>
      <w:lvlJc w:val="left"/>
      <w:pPr>
        <w:ind w:left="1722" w:hanging="675"/>
      </w:pPr>
      <w:rPr>
        <w:rFonts w:ascii="Courier New" w:eastAsia="Courier New" w:hAnsi="Courier New" w:hint="default"/>
        <w:color w:val="626667"/>
        <w:spacing w:val="11"/>
        <w:w w:val="122"/>
        <w:sz w:val="20"/>
        <w:szCs w:val="20"/>
      </w:rPr>
    </w:lvl>
    <w:lvl w:ilvl="2" w:tplc="21C6EDD4">
      <w:start w:val="1"/>
      <w:numFmt w:val="bullet"/>
      <w:lvlText w:val="•"/>
      <w:lvlJc w:val="left"/>
      <w:pPr>
        <w:ind w:left="1730" w:hanging="675"/>
      </w:pPr>
      <w:rPr>
        <w:rFonts w:hint="default"/>
      </w:rPr>
    </w:lvl>
    <w:lvl w:ilvl="3" w:tplc="7346C26A">
      <w:start w:val="1"/>
      <w:numFmt w:val="bullet"/>
      <w:lvlText w:val="•"/>
      <w:lvlJc w:val="left"/>
      <w:pPr>
        <w:ind w:left="3043" w:hanging="675"/>
      </w:pPr>
      <w:rPr>
        <w:rFonts w:hint="default"/>
      </w:rPr>
    </w:lvl>
    <w:lvl w:ilvl="4" w:tplc="0584ED5A">
      <w:start w:val="1"/>
      <w:numFmt w:val="bullet"/>
      <w:lvlText w:val="•"/>
      <w:lvlJc w:val="left"/>
      <w:pPr>
        <w:ind w:left="4357" w:hanging="675"/>
      </w:pPr>
      <w:rPr>
        <w:rFonts w:hint="default"/>
      </w:rPr>
    </w:lvl>
    <w:lvl w:ilvl="5" w:tplc="5B08C340">
      <w:start w:val="1"/>
      <w:numFmt w:val="bullet"/>
      <w:lvlText w:val="•"/>
      <w:lvlJc w:val="left"/>
      <w:pPr>
        <w:ind w:left="5671" w:hanging="675"/>
      </w:pPr>
      <w:rPr>
        <w:rFonts w:hint="default"/>
      </w:rPr>
    </w:lvl>
    <w:lvl w:ilvl="6" w:tplc="0338F7DA">
      <w:start w:val="1"/>
      <w:numFmt w:val="bullet"/>
      <w:lvlText w:val="•"/>
      <w:lvlJc w:val="left"/>
      <w:pPr>
        <w:ind w:left="6985" w:hanging="675"/>
      </w:pPr>
      <w:rPr>
        <w:rFonts w:hint="default"/>
      </w:rPr>
    </w:lvl>
    <w:lvl w:ilvl="7" w:tplc="0726AF76">
      <w:start w:val="1"/>
      <w:numFmt w:val="bullet"/>
      <w:lvlText w:val="•"/>
      <w:lvlJc w:val="left"/>
      <w:pPr>
        <w:ind w:left="8298" w:hanging="675"/>
      </w:pPr>
      <w:rPr>
        <w:rFonts w:hint="default"/>
      </w:rPr>
    </w:lvl>
    <w:lvl w:ilvl="8" w:tplc="B02E5084">
      <w:start w:val="1"/>
      <w:numFmt w:val="bullet"/>
      <w:lvlText w:val="•"/>
      <w:lvlJc w:val="left"/>
      <w:pPr>
        <w:ind w:left="9612" w:hanging="675"/>
      </w:pPr>
      <w:rPr>
        <w:rFonts w:hint="default"/>
      </w:rPr>
    </w:lvl>
  </w:abstractNum>
  <w:num w:numId="1" w16cid:durableId="210731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35E8"/>
    <w:rsid w:val="00020F76"/>
    <w:rsid w:val="00021526"/>
    <w:rsid w:val="000313D5"/>
    <w:rsid w:val="00040075"/>
    <w:rsid w:val="00043DE1"/>
    <w:rsid w:val="00045C17"/>
    <w:rsid w:val="000800A4"/>
    <w:rsid w:val="0009343C"/>
    <w:rsid w:val="00096F0C"/>
    <w:rsid w:val="000B2A99"/>
    <w:rsid w:val="000C0C22"/>
    <w:rsid w:val="000C1874"/>
    <w:rsid w:val="000D5DCD"/>
    <w:rsid w:val="000E0C2F"/>
    <w:rsid w:val="00116F35"/>
    <w:rsid w:val="00147C25"/>
    <w:rsid w:val="001610DE"/>
    <w:rsid w:val="00167C20"/>
    <w:rsid w:val="00171F5D"/>
    <w:rsid w:val="001775B0"/>
    <w:rsid w:val="001B0954"/>
    <w:rsid w:val="001B11F1"/>
    <w:rsid w:val="001B12CD"/>
    <w:rsid w:val="001B50F5"/>
    <w:rsid w:val="001C7C53"/>
    <w:rsid w:val="001D47FF"/>
    <w:rsid w:val="001F0060"/>
    <w:rsid w:val="001F405C"/>
    <w:rsid w:val="00227BDB"/>
    <w:rsid w:val="00230ECC"/>
    <w:rsid w:val="00237DDD"/>
    <w:rsid w:val="00242B41"/>
    <w:rsid w:val="002436D3"/>
    <w:rsid w:val="00256617"/>
    <w:rsid w:val="002840A1"/>
    <w:rsid w:val="00284C21"/>
    <w:rsid w:val="00296FBF"/>
    <w:rsid w:val="002B589B"/>
    <w:rsid w:val="002C1CC7"/>
    <w:rsid w:val="002C5AA0"/>
    <w:rsid w:val="002D12C9"/>
    <w:rsid w:val="00307C61"/>
    <w:rsid w:val="00323288"/>
    <w:rsid w:val="00337B0A"/>
    <w:rsid w:val="0034144E"/>
    <w:rsid w:val="00363681"/>
    <w:rsid w:val="003707C6"/>
    <w:rsid w:val="00374605"/>
    <w:rsid w:val="00376157"/>
    <w:rsid w:val="00380217"/>
    <w:rsid w:val="003D44BE"/>
    <w:rsid w:val="00412B5A"/>
    <w:rsid w:val="00423173"/>
    <w:rsid w:val="00425A42"/>
    <w:rsid w:val="004406F7"/>
    <w:rsid w:val="00440B69"/>
    <w:rsid w:val="00462BE1"/>
    <w:rsid w:val="004A09D0"/>
    <w:rsid w:val="004A6180"/>
    <w:rsid w:val="004B0686"/>
    <w:rsid w:val="004D1131"/>
    <w:rsid w:val="004D5015"/>
    <w:rsid w:val="004E06EA"/>
    <w:rsid w:val="004E0AF9"/>
    <w:rsid w:val="00500080"/>
    <w:rsid w:val="00500B3F"/>
    <w:rsid w:val="00500FD3"/>
    <w:rsid w:val="00517637"/>
    <w:rsid w:val="005301D5"/>
    <w:rsid w:val="00533BBF"/>
    <w:rsid w:val="0054160D"/>
    <w:rsid w:val="005421FA"/>
    <w:rsid w:val="0054503D"/>
    <w:rsid w:val="005624C5"/>
    <w:rsid w:val="00593C17"/>
    <w:rsid w:val="005A5FDB"/>
    <w:rsid w:val="005A7BF7"/>
    <w:rsid w:val="005B2BB6"/>
    <w:rsid w:val="005C507B"/>
    <w:rsid w:val="00641D38"/>
    <w:rsid w:val="006503BA"/>
    <w:rsid w:val="00664BF3"/>
    <w:rsid w:val="00692A64"/>
    <w:rsid w:val="00696659"/>
    <w:rsid w:val="006A1343"/>
    <w:rsid w:val="006A1B9F"/>
    <w:rsid w:val="006A4DC5"/>
    <w:rsid w:val="006A698E"/>
    <w:rsid w:val="006C0A6F"/>
    <w:rsid w:val="00710C15"/>
    <w:rsid w:val="007175F2"/>
    <w:rsid w:val="00724B48"/>
    <w:rsid w:val="00753C16"/>
    <w:rsid w:val="00766915"/>
    <w:rsid w:val="00783877"/>
    <w:rsid w:val="007A4537"/>
    <w:rsid w:val="007B5EB3"/>
    <w:rsid w:val="007E08C5"/>
    <w:rsid w:val="008313AE"/>
    <w:rsid w:val="00847C43"/>
    <w:rsid w:val="00852E63"/>
    <w:rsid w:val="008674DC"/>
    <w:rsid w:val="008747D8"/>
    <w:rsid w:val="008D0C74"/>
    <w:rsid w:val="008D2A3D"/>
    <w:rsid w:val="008D678D"/>
    <w:rsid w:val="008F54E5"/>
    <w:rsid w:val="0091387F"/>
    <w:rsid w:val="00946804"/>
    <w:rsid w:val="009526A3"/>
    <w:rsid w:val="00967A7D"/>
    <w:rsid w:val="009C698B"/>
    <w:rsid w:val="009E51CD"/>
    <w:rsid w:val="009F7591"/>
    <w:rsid w:val="00A10B55"/>
    <w:rsid w:val="00A30E6C"/>
    <w:rsid w:val="00A321E2"/>
    <w:rsid w:val="00A46B06"/>
    <w:rsid w:val="00A53690"/>
    <w:rsid w:val="00A56184"/>
    <w:rsid w:val="00A73D16"/>
    <w:rsid w:val="00A7781D"/>
    <w:rsid w:val="00AB2954"/>
    <w:rsid w:val="00AF5FAC"/>
    <w:rsid w:val="00B1786B"/>
    <w:rsid w:val="00B20693"/>
    <w:rsid w:val="00B277F2"/>
    <w:rsid w:val="00B32E89"/>
    <w:rsid w:val="00B73800"/>
    <w:rsid w:val="00B81C49"/>
    <w:rsid w:val="00B8383C"/>
    <w:rsid w:val="00BA0E54"/>
    <w:rsid w:val="00BA2A99"/>
    <w:rsid w:val="00BB7A8C"/>
    <w:rsid w:val="00BC23CD"/>
    <w:rsid w:val="00BC76DB"/>
    <w:rsid w:val="00BE390F"/>
    <w:rsid w:val="00C131D5"/>
    <w:rsid w:val="00C17C68"/>
    <w:rsid w:val="00C33F59"/>
    <w:rsid w:val="00C561E9"/>
    <w:rsid w:val="00C61670"/>
    <w:rsid w:val="00C660FC"/>
    <w:rsid w:val="00C713B3"/>
    <w:rsid w:val="00C75A66"/>
    <w:rsid w:val="00C8475F"/>
    <w:rsid w:val="00C856B5"/>
    <w:rsid w:val="00C86A01"/>
    <w:rsid w:val="00C90BC6"/>
    <w:rsid w:val="00C953EA"/>
    <w:rsid w:val="00CA30B3"/>
    <w:rsid w:val="00CA42F7"/>
    <w:rsid w:val="00CD3465"/>
    <w:rsid w:val="00CE05D6"/>
    <w:rsid w:val="00D04500"/>
    <w:rsid w:val="00D0733E"/>
    <w:rsid w:val="00D14881"/>
    <w:rsid w:val="00D31EA8"/>
    <w:rsid w:val="00D42B4D"/>
    <w:rsid w:val="00D535C2"/>
    <w:rsid w:val="00D53D91"/>
    <w:rsid w:val="00D779A8"/>
    <w:rsid w:val="00D83FA2"/>
    <w:rsid w:val="00D86852"/>
    <w:rsid w:val="00D90B8C"/>
    <w:rsid w:val="00DB440F"/>
    <w:rsid w:val="00DD200B"/>
    <w:rsid w:val="00DF3A7A"/>
    <w:rsid w:val="00E13EB6"/>
    <w:rsid w:val="00E30EBC"/>
    <w:rsid w:val="00E327E6"/>
    <w:rsid w:val="00E46EB8"/>
    <w:rsid w:val="00E51F87"/>
    <w:rsid w:val="00E654F6"/>
    <w:rsid w:val="00E66C61"/>
    <w:rsid w:val="00E9292C"/>
    <w:rsid w:val="00E93B4B"/>
    <w:rsid w:val="00E957CE"/>
    <w:rsid w:val="00EB7A52"/>
    <w:rsid w:val="00EC2A0B"/>
    <w:rsid w:val="00ED5C01"/>
    <w:rsid w:val="00EE51FE"/>
    <w:rsid w:val="00F00B4A"/>
    <w:rsid w:val="00F16915"/>
    <w:rsid w:val="00F260D8"/>
    <w:rsid w:val="00F35CD1"/>
    <w:rsid w:val="00F773C1"/>
    <w:rsid w:val="00F77581"/>
    <w:rsid w:val="00F84A19"/>
    <w:rsid w:val="00F95E3B"/>
    <w:rsid w:val="00FB1A82"/>
    <w:rsid w:val="00FC5282"/>
    <w:rsid w:val="00FC7D08"/>
    <w:rsid w:val="00FD4778"/>
    <w:rsid w:val="00FE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99345"/>
  <w15:docId w15:val="{37CD00E6-1C57-4EEF-929C-1350A6EF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F0C"/>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uiPriority w:val="99"/>
    <w:semiHidden/>
    <w:rsid w:val="008D678D"/>
    <w:rPr>
      <w:sz w:val="20"/>
      <w:szCs w:val="20"/>
    </w:rPr>
  </w:style>
  <w:style w:type="character" w:customStyle="1" w:styleId="FootnoteTextChar">
    <w:name w:val="Footnote Text Char"/>
    <w:basedOn w:val="DefaultParagraphFont"/>
    <w:link w:val="FootnoteText"/>
    <w:uiPriority w:val="99"/>
    <w:semiHidden/>
    <w:rsid w:val="008D678D"/>
    <w:rPr>
      <w:rFonts w:ascii="Courier" w:eastAsia="Times New Roman" w:hAnsi="Courier" w:cs="Times New Roman"/>
      <w:sz w:val="20"/>
      <w:szCs w:val="20"/>
    </w:rPr>
  </w:style>
  <w:style w:type="character" w:styleId="FootnoteReference">
    <w:name w:val="footnote reference"/>
    <w:basedOn w:val="DefaultParagraphFont"/>
    <w:uiPriority w:val="99"/>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2840A1"/>
    <w:rPr>
      <w:rFonts w:ascii="Tahoma" w:hAnsi="Tahoma" w:cs="Tahoma"/>
      <w:sz w:val="16"/>
      <w:szCs w:val="16"/>
    </w:rPr>
  </w:style>
  <w:style w:type="character" w:customStyle="1" w:styleId="BalloonTextChar">
    <w:name w:val="Balloon Text Char"/>
    <w:basedOn w:val="DefaultParagraphFont"/>
    <w:link w:val="BalloonText"/>
    <w:uiPriority w:val="99"/>
    <w:semiHidden/>
    <w:rsid w:val="002840A1"/>
    <w:rPr>
      <w:rFonts w:ascii="Tahoma" w:eastAsia="Times New Roman" w:hAnsi="Tahoma" w:cs="Tahoma"/>
      <w:sz w:val="16"/>
      <w:szCs w:val="16"/>
    </w:rPr>
  </w:style>
  <w:style w:type="paragraph" w:customStyle="1" w:styleId="body-l2">
    <w:name w:val="body-l2"/>
    <w:basedOn w:val="Normal"/>
    <w:rsid w:val="00FD4778"/>
    <w:pPr>
      <w:spacing w:before="100" w:beforeAutospacing="1" w:after="100" w:afterAutospacing="1"/>
      <w:ind w:firstLine="720"/>
      <w:jc w:val="both"/>
    </w:pPr>
    <w:rPr>
      <w:rFonts w:ascii="Arial" w:hAnsi="Arial" w:cs="Arial"/>
    </w:rPr>
  </w:style>
  <w:style w:type="character" w:styleId="Hyperlink">
    <w:name w:val="Hyperlink"/>
    <w:basedOn w:val="DefaultParagraphFont"/>
    <w:uiPriority w:val="99"/>
    <w:unhideWhenUsed/>
    <w:rsid w:val="00FD4778"/>
    <w:rPr>
      <w:color w:val="0000FF" w:themeColor="hyperlink"/>
      <w:u w:val="single"/>
    </w:rPr>
  </w:style>
  <w:style w:type="character" w:styleId="FollowedHyperlink">
    <w:name w:val="FollowedHyperlink"/>
    <w:basedOn w:val="DefaultParagraphFont"/>
    <w:uiPriority w:val="99"/>
    <w:semiHidden/>
    <w:unhideWhenUsed/>
    <w:rsid w:val="004406F7"/>
    <w:rPr>
      <w:color w:val="800080"/>
      <w:u w:val="single"/>
    </w:rPr>
  </w:style>
  <w:style w:type="paragraph" w:customStyle="1" w:styleId="xl67">
    <w:name w:val="xl67"/>
    <w:basedOn w:val="Normal"/>
    <w:rsid w:val="004406F7"/>
    <w:pPr>
      <w:spacing w:before="100" w:beforeAutospacing="1" w:after="100" w:afterAutospacing="1"/>
      <w:textAlignment w:val="center"/>
    </w:pPr>
    <w:rPr>
      <w:rFonts w:ascii="Times New Roman" w:hAnsi="Times New Roman"/>
    </w:rPr>
  </w:style>
  <w:style w:type="paragraph" w:customStyle="1" w:styleId="xl68">
    <w:name w:val="xl68"/>
    <w:basedOn w:val="Normal"/>
    <w:rsid w:val="004406F7"/>
    <w:pPr>
      <w:spacing w:before="100" w:beforeAutospacing="1" w:after="100" w:afterAutospacing="1"/>
      <w:textAlignment w:val="center"/>
    </w:pPr>
    <w:rPr>
      <w:rFonts w:ascii="Times New Roman" w:hAnsi="Times New Roman"/>
    </w:rPr>
  </w:style>
  <w:style w:type="paragraph" w:customStyle="1" w:styleId="xl69">
    <w:name w:val="xl69"/>
    <w:basedOn w:val="Normal"/>
    <w:rsid w:val="004406F7"/>
    <w:pPr>
      <w:spacing w:before="100" w:beforeAutospacing="1" w:after="100" w:afterAutospacing="1"/>
      <w:textAlignment w:val="center"/>
    </w:pPr>
    <w:rPr>
      <w:rFonts w:ascii="Times New Roman" w:hAnsi="Times New Roman"/>
    </w:rPr>
  </w:style>
  <w:style w:type="paragraph" w:customStyle="1" w:styleId="xl70">
    <w:name w:val="xl70"/>
    <w:basedOn w:val="Normal"/>
    <w:rsid w:val="004406F7"/>
    <w:pPr>
      <w:spacing w:before="100" w:beforeAutospacing="1" w:after="100" w:afterAutospacing="1"/>
      <w:textAlignment w:val="center"/>
    </w:pPr>
    <w:rPr>
      <w:rFonts w:ascii="Times New Roman" w:hAnsi="Times New Roman"/>
    </w:rPr>
  </w:style>
  <w:style w:type="character" w:styleId="CommentReference">
    <w:name w:val="annotation reference"/>
    <w:basedOn w:val="DefaultParagraphFont"/>
    <w:uiPriority w:val="99"/>
    <w:semiHidden/>
    <w:unhideWhenUsed/>
    <w:rsid w:val="00533BBF"/>
    <w:rPr>
      <w:sz w:val="16"/>
      <w:szCs w:val="16"/>
    </w:rPr>
  </w:style>
  <w:style w:type="paragraph" w:styleId="CommentText">
    <w:name w:val="annotation text"/>
    <w:basedOn w:val="Normal"/>
    <w:link w:val="CommentTextChar"/>
    <w:uiPriority w:val="99"/>
    <w:unhideWhenUsed/>
    <w:rsid w:val="00533BBF"/>
    <w:rPr>
      <w:sz w:val="20"/>
      <w:szCs w:val="20"/>
    </w:rPr>
  </w:style>
  <w:style w:type="character" w:customStyle="1" w:styleId="CommentTextChar">
    <w:name w:val="Comment Text Char"/>
    <w:basedOn w:val="DefaultParagraphFont"/>
    <w:link w:val="CommentText"/>
    <w:uiPriority w:val="99"/>
    <w:rsid w:val="00533BB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33BBF"/>
    <w:rPr>
      <w:b/>
      <w:bCs/>
    </w:rPr>
  </w:style>
  <w:style w:type="character" w:customStyle="1" w:styleId="CommentSubjectChar">
    <w:name w:val="Comment Subject Char"/>
    <w:basedOn w:val="CommentTextChar"/>
    <w:link w:val="CommentSubject"/>
    <w:uiPriority w:val="99"/>
    <w:semiHidden/>
    <w:rsid w:val="00533BBF"/>
    <w:rPr>
      <w:rFonts w:ascii="Courier" w:eastAsia="Times New Roman" w:hAnsi="Courier" w:cs="Times New Roman"/>
      <w:b/>
      <w:bCs/>
      <w:sz w:val="20"/>
      <w:szCs w:val="20"/>
    </w:rPr>
  </w:style>
  <w:style w:type="table" w:styleId="TableGrid">
    <w:name w:val="Table Grid"/>
    <w:basedOn w:val="TableNormal"/>
    <w:uiPriority w:val="59"/>
    <w:rsid w:val="0042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3681"/>
    <w:rPr>
      <w:rFonts w:ascii="Courier" w:eastAsia="Times New Roman" w:hAnsi="Courier" w:cs="Times New Roman"/>
      <w:szCs w:val="24"/>
    </w:rPr>
  </w:style>
  <w:style w:type="paragraph" w:styleId="NoSpacing">
    <w:name w:val="No Spacing"/>
    <w:uiPriority w:val="1"/>
    <w:qFormat/>
    <w:rsid w:val="00F1691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1417">
      <w:bodyDiv w:val="1"/>
      <w:marLeft w:val="0"/>
      <w:marRight w:val="0"/>
      <w:marTop w:val="0"/>
      <w:marBottom w:val="0"/>
      <w:divBdr>
        <w:top w:val="none" w:sz="0" w:space="0" w:color="auto"/>
        <w:left w:val="none" w:sz="0" w:space="0" w:color="auto"/>
        <w:bottom w:val="none" w:sz="0" w:space="0" w:color="auto"/>
        <w:right w:val="none" w:sz="0" w:space="0" w:color="auto"/>
      </w:divBdr>
    </w:div>
    <w:div w:id="143163096">
      <w:bodyDiv w:val="1"/>
      <w:marLeft w:val="0"/>
      <w:marRight w:val="0"/>
      <w:marTop w:val="0"/>
      <w:marBottom w:val="0"/>
      <w:divBdr>
        <w:top w:val="none" w:sz="0" w:space="0" w:color="auto"/>
        <w:left w:val="none" w:sz="0" w:space="0" w:color="auto"/>
        <w:bottom w:val="none" w:sz="0" w:space="0" w:color="auto"/>
        <w:right w:val="none" w:sz="0" w:space="0" w:color="auto"/>
      </w:divBdr>
    </w:div>
    <w:div w:id="166746988">
      <w:bodyDiv w:val="1"/>
      <w:marLeft w:val="0"/>
      <w:marRight w:val="0"/>
      <w:marTop w:val="0"/>
      <w:marBottom w:val="0"/>
      <w:divBdr>
        <w:top w:val="none" w:sz="0" w:space="0" w:color="auto"/>
        <w:left w:val="none" w:sz="0" w:space="0" w:color="auto"/>
        <w:bottom w:val="none" w:sz="0" w:space="0" w:color="auto"/>
        <w:right w:val="none" w:sz="0" w:space="0" w:color="auto"/>
      </w:divBdr>
    </w:div>
    <w:div w:id="179664766">
      <w:bodyDiv w:val="1"/>
      <w:marLeft w:val="0"/>
      <w:marRight w:val="0"/>
      <w:marTop w:val="0"/>
      <w:marBottom w:val="0"/>
      <w:divBdr>
        <w:top w:val="none" w:sz="0" w:space="0" w:color="auto"/>
        <w:left w:val="none" w:sz="0" w:space="0" w:color="auto"/>
        <w:bottom w:val="none" w:sz="0" w:space="0" w:color="auto"/>
        <w:right w:val="none" w:sz="0" w:space="0" w:color="auto"/>
      </w:divBdr>
    </w:div>
    <w:div w:id="205871077">
      <w:bodyDiv w:val="1"/>
      <w:marLeft w:val="0"/>
      <w:marRight w:val="0"/>
      <w:marTop w:val="0"/>
      <w:marBottom w:val="0"/>
      <w:divBdr>
        <w:top w:val="none" w:sz="0" w:space="0" w:color="auto"/>
        <w:left w:val="none" w:sz="0" w:space="0" w:color="auto"/>
        <w:bottom w:val="none" w:sz="0" w:space="0" w:color="auto"/>
        <w:right w:val="none" w:sz="0" w:space="0" w:color="auto"/>
      </w:divBdr>
    </w:div>
    <w:div w:id="247618219">
      <w:bodyDiv w:val="1"/>
      <w:marLeft w:val="0"/>
      <w:marRight w:val="0"/>
      <w:marTop w:val="0"/>
      <w:marBottom w:val="0"/>
      <w:divBdr>
        <w:top w:val="none" w:sz="0" w:space="0" w:color="auto"/>
        <w:left w:val="none" w:sz="0" w:space="0" w:color="auto"/>
        <w:bottom w:val="none" w:sz="0" w:space="0" w:color="auto"/>
        <w:right w:val="none" w:sz="0" w:space="0" w:color="auto"/>
      </w:divBdr>
    </w:div>
    <w:div w:id="323626634">
      <w:bodyDiv w:val="1"/>
      <w:marLeft w:val="0"/>
      <w:marRight w:val="0"/>
      <w:marTop w:val="0"/>
      <w:marBottom w:val="0"/>
      <w:divBdr>
        <w:top w:val="none" w:sz="0" w:space="0" w:color="auto"/>
        <w:left w:val="none" w:sz="0" w:space="0" w:color="auto"/>
        <w:bottom w:val="none" w:sz="0" w:space="0" w:color="auto"/>
        <w:right w:val="none" w:sz="0" w:space="0" w:color="auto"/>
      </w:divBdr>
    </w:div>
    <w:div w:id="404305820">
      <w:bodyDiv w:val="1"/>
      <w:marLeft w:val="0"/>
      <w:marRight w:val="0"/>
      <w:marTop w:val="0"/>
      <w:marBottom w:val="0"/>
      <w:divBdr>
        <w:top w:val="none" w:sz="0" w:space="0" w:color="auto"/>
        <w:left w:val="none" w:sz="0" w:space="0" w:color="auto"/>
        <w:bottom w:val="none" w:sz="0" w:space="0" w:color="auto"/>
        <w:right w:val="none" w:sz="0" w:space="0" w:color="auto"/>
      </w:divBdr>
    </w:div>
    <w:div w:id="408969674">
      <w:bodyDiv w:val="1"/>
      <w:marLeft w:val="0"/>
      <w:marRight w:val="0"/>
      <w:marTop w:val="0"/>
      <w:marBottom w:val="0"/>
      <w:divBdr>
        <w:top w:val="none" w:sz="0" w:space="0" w:color="auto"/>
        <w:left w:val="none" w:sz="0" w:space="0" w:color="auto"/>
        <w:bottom w:val="none" w:sz="0" w:space="0" w:color="auto"/>
        <w:right w:val="none" w:sz="0" w:space="0" w:color="auto"/>
      </w:divBdr>
    </w:div>
    <w:div w:id="424497410">
      <w:bodyDiv w:val="1"/>
      <w:marLeft w:val="0"/>
      <w:marRight w:val="0"/>
      <w:marTop w:val="0"/>
      <w:marBottom w:val="0"/>
      <w:divBdr>
        <w:top w:val="none" w:sz="0" w:space="0" w:color="auto"/>
        <w:left w:val="none" w:sz="0" w:space="0" w:color="auto"/>
        <w:bottom w:val="none" w:sz="0" w:space="0" w:color="auto"/>
        <w:right w:val="none" w:sz="0" w:space="0" w:color="auto"/>
      </w:divBdr>
    </w:div>
    <w:div w:id="478771378">
      <w:bodyDiv w:val="1"/>
      <w:marLeft w:val="0"/>
      <w:marRight w:val="0"/>
      <w:marTop w:val="0"/>
      <w:marBottom w:val="0"/>
      <w:divBdr>
        <w:top w:val="none" w:sz="0" w:space="0" w:color="auto"/>
        <w:left w:val="none" w:sz="0" w:space="0" w:color="auto"/>
        <w:bottom w:val="none" w:sz="0" w:space="0" w:color="auto"/>
        <w:right w:val="none" w:sz="0" w:space="0" w:color="auto"/>
      </w:divBdr>
    </w:div>
    <w:div w:id="626132485">
      <w:bodyDiv w:val="1"/>
      <w:marLeft w:val="0"/>
      <w:marRight w:val="0"/>
      <w:marTop w:val="0"/>
      <w:marBottom w:val="0"/>
      <w:divBdr>
        <w:top w:val="none" w:sz="0" w:space="0" w:color="auto"/>
        <w:left w:val="none" w:sz="0" w:space="0" w:color="auto"/>
        <w:bottom w:val="none" w:sz="0" w:space="0" w:color="auto"/>
        <w:right w:val="none" w:sz="0" w:space="0" w:color="auto"/>
      </w:divBdr>
    </w:div>
    <w:div w:id="657265112">
      <w:bodyDiv w:val="1"/>
      <w:marLeft w:val="0"/>
      <w:marRight w:val="0"/>
      <w:marTop w:val="0"/>
      <w:marBottom w:val="0"/>
      <w:divBdr>
        <w:top w:val="none" w:sz="0" w:space="0" w:color="auto"/>
        <w:left w:val="none" w:sz="0" w:space="0" w:color="auto"/>
        <w:bottom w:val="none" w:sz="0" w:space="0" w:color="auto"/>
        <w:right w:val="none" w:sz="0" w:space="0" w:color="auto"/>
      </w:divBdr>
    </w:div>
    <w:div w:id="662125943">
      <w:bodyDiv w:val="1"/>
      <w:marLeft w:val="0"/>
      <w:marRight w:val="0"/>
      <w:marTop w:val="0"/>
      <w:marBottom w:val="0"/>
      <w:divBdr>
        <w:top w:val="none" w:sz="0" w:space="0" w:color="auto"/>
        <w:left w:val="none" w:sz="0" w:space="0" w:color="auto"/>
        <w:bottom w:val="none" w:sz="0" w:space="0" w:color="auto"/>
        <w:right w:val="none" w:sz="0" w:space="0" w:color="auto"/>
      </w:divBdr>
    </w:div>
    <w:div w:id="706221304">
      <w:bodyDiv w:val="1"/>
      <w:marLeft w:val="0"/>
      <w:marRight w:val="0"/>
      <w:marTop w:val="0"/>
      <w:marBottom w:val="0"/>
      <w:divBdr>
        <w:top w:val="none" w:sz="0" w:space="0" w:color="auto"/>
        <w:left w:val="none" w:sz="0" w:space="0" w:color="auto"/>
        <w:bottom w:val="none" w:sz="0" w:space="0" w:color="auto"/>
        <w:right w:val="none" w:sz="0" w:space="0" w:color="auto"/>
      </w:divBdr>
    </w:div>
    <w:div w:id="767695887">
      <w:bodyDiv w:val="1"/>
      <w:marLeft w:val="0"/>
      <w:marRight w:val="0"/>
      <w:marTop w:val="0"/>
      <w:marBottom w:val="0"/>
      <w:divBdr>
        <w:top w:val="none" w:sz="0" w:space="0" w:color="auto"/>
        <w:left w:val="none" w:sz="0" w:space="0" w:color="auto"/>
        <w:bottom w:val="none" w:sz="0" w:space="0" w:color="auto"/>
        <w:right w:val="none" w:sz="0" w:space="0" w:color="auto"/>
      </w:divBdr>
    </w:div>
    <w:div w:id="785929801">
      <w:bodyDiv w:val="1"/>
      <w:marLeft w:val="0"/>
      <w:marRight w:val="0"/>
      <w:marTop w:val="0"/>
      <w:marBottom w:val="0"/>
      <w:divBdr>
        <w:top w:val="none" w:sz="0" w:space="0" w:color="auto"/>
        <w:left w:val="none" w:sz="0" w:space="0" w:color="auto"/>
        <w:bottom w:val="none" w:sz="0" w:space="0" w:color="auto"/>
        <w:right w:val="none" w:sz="0" w:space="0" w:color="auto"/>
      </w:divBdr>
    </w:div>
    <w:div w:id="827791059">
      <w:bodyDiv w:val="1"/>
      <w:marLeft w:val="0"/>
      <w:marRight w:val="0"/>
      <w:marTop w:val="0"/>
      <w:marBottom w:val="0"/>
      <w:divBdr>
        <w:top w:val="none" w:sz="0" w:space="0" w:color="auto"/>
        <w:left w:val="none" w:sz="0" w:space="0" w:color="auto"/>
        <w:bottom w:val="none" w:sz="0" w:space="0" w:color="auto"/>
        <w:right w:val="none" w:sz="0" w:space="0" w:color="auto"/>
      </w:divBdr>
    </w:div>
    <w:div w:id="842009808">
      <w:bodyDiv w:val="1"/>
      <w:marLeft w:val="0"/>
      <w:marRight w:val="0"/>
      <w:marTop w:val="0"/>
      <w:marBottom w:val="0"/>
      <w:divBdr>
        <w:top w:val="none" w:sz="0" w:space="0" w:color="auto"/>
        <w:left w:val="none" w:sz="0" w:space="0" w:color="auto"/>
        <w:bottom w:val="none" w:sz="0" w:space="0" w:color="auto"/>
        <w:right w:val="none" w:sz="0" w:space="0" w:color="auto"/>
      </w:divBdr>
    </w:div>
    <w:div w:id="845099306">
      <w:bodyDiv w:val="1"/>
      <w:marLeft w:val="0"/>
      <w:marRight w:val="0"/>
      <w:marTop w:val="0"/>
      <w:marBottom w:val="0"/>
      <w:divBdr>
        <w:top w:val="none" w:sz="0" w:space="0" w:color="auto"/>
        <w:left w:val="none" w:sz="0" w:space="0" w:color="auto"/>
        <w:bottom w:val="none" w:sz="0" w:space="0" w:color="auto"/>
        <w:right w:val="none" w:sz="0" w:space="0" w:color="auto"/>
      </w:divBdr>
    </w:div>
    <w:div w:id="868952012">
      <w:bodyDiv w:val="1"/>
      <w:marLeft w:val="0"/>
      <w:marRight w:val="0"/>
      <w:marTop w:val="0"/>
      <w:marBottom w:val="0"/>
      <w:divBdr>
        <w:top w:val="none" w:sz="0" w:space="0" w:color="auto"/>
        <w:left w:val="none" w:sz="0" w:space="0" w:color="auto"/>
        <w:bottom w:val="none" w:sz="0" w:space="0" w:color="auto"/>
        <w:right w:val="none" w:sz="0" w:space="0" w:color="auto"/>
      </w:divBdr>
    </w:div>
    <w:div w:id="877084733">
      <w:bodyDiv w:val="1"/>
      <w:marLeft w:val="0"/>
      <w:marRight w:val="0"/>
      <w:marTop w:val="0"/>
      <w:marBottom w:val="0"/>
      <w:divBdr>
        <w:top w:val="none" w:sz="0" w:space="0" w:color="auto"/>
        <w:left w:val="none" w:sz="0" w:space="0" w:color="auto"/>
        <w:bottom w:val="none" w:sz="0" w:space="0" w:color="auto"/>
        <w:right w:val="none" w:sz="0" w:space="0" w:color="auto"/>
      </w:divBdr>
    </w:div>
    <w:div w:id="988361777">
      <w:bodyDiv w:val="1"/>
      <w:marLeft w:val="0"/>
      <w:marRight w:val="0"/>
      <w:marTop w:val="0"/>
      <w:marBottom w:val="0"/>
      <w:divBdr>
        <w:top w:val="none" w:sz="0" w:space="0" w:color="auto"/>
        <w:left w:val="none" w:sz="0" w:space="0" w:color="auto"/>
        <w:bottom w:val="none" w:sz="0" w:space="0" w:color="auto"/>
        <w:right w:val="none" w:sz="0" w:space="0" w:color="auto"/>
      </w:divBdr>
    </w:div>
    <w:div w:id="1058751202">
      <w:bodyDiv w:val="1"/>
      <w:marLeft w:val="0"/>
      <w:marRight w:val="0"/>
      <w:marTop w:val="0"/>
      <w:marBottom w:val="0"/>
      <w:divBdr>
        <w:top w:val="none" w:sz="0" w:space="0" w:color="auto"/>
        <w:left w:val="none" w:sz="0" w:space="0" w:color="auto"/>
        <w:bottom w:val="none" w:sz="0" w:space="0" w:color="auto"/>
        <w:right w:val="none" w:sz="0" w:space="0" w:color="auto"/>
      </w:divBdr>
    </w:div>
    <w:div w:id="1077480667">
      <w:bodyDiv w:val="1"/>
      <w:marLeft w:val="0"/>
      <w:marRight w:val="0"/>
      <w:marTop w:val="0"/>
      <w:marBottom w:val="0"/>
      <w:divBdr>
        <w:top w:val="none" w:sz="0" w:space="0" w:color="auto"/>
        <w:left w:val="none" w:sz="0" w:space="0" w:color="auto"/>
        <w:bottom w:val="none" w:sz="0" w:space="0" w:color="auto"/>
        <w:right w:val="none" w:sz="0" w:space="0" w:color="auto"/>
      </w:divBdr>
    </w:div>
    <w:div w:id="1080295923">
      <w:bodyDiv w:val="1"/>
      <w:marLeft w:val="0"/>
      <w:marRight w:val="0"/>
      <w:marTop w:val="0"/>
      <w:marBottom w:val="0"/>
      <w:divBdr>
        <w:top w:val="none" w:sz="0" w:space="0" w:color="auto"/>
        <w:left w:val="none" w:sz="0" w:space="0" w:color="auto"/>
        <w:bottom w:val="none" w:sz="0" w:space="0" w:color="auto"/>
        <w:right w:val="none" w:sz="0" w:space="0" w:color="auto"/>
      </w:divBdr>
    </w:div>
    <w:div w:id="1108355252">
      <w:bodyDiv w:val="1"/>
      <w:marLeft w:val="0"/>
      <w:marRight w:val="0"/>
      <w:marTop w:val="0"/>
      <w:marBottom w:val="0"/>
      <w:divBdr>
        <w:top w:val="none" w:sz="0" w:space="0" w:color="auto"/>
        <w:left w:val="none" w:sz="0" w:space="0" w:color="auto"/>
        <w:bottom w:val="none" w:sz="0" w:space="0" w:color="auto"/>
        <w:right w:val="none" w:sz="0" w:space="0" w:color="auto"/>
      </w:divBdr>
    </w:div>
    <w:div w:id="1157183244">
      <w:bodyDiv w:val="1"/>
      <w:marLeft w:val="0"/>
      <w:marRight w:val="0"/>
      <w:marTop w:val="0"/>
      <w:marBottom w:val="0"/>
      <w:divBdr>
        <w:top w:val="none" w:sz="0" w:space="0" w:color="auto"/>
        <w:left w:val="none" w:sz="0" w:space="0" w:color="auto"/>
        <w:bottom w:val="none" w:sz="0" w:space="0" w:color="auto"/>
        <w:right w:val="none" w:sz="0" w:space="0" w:color="auto"/>
      </w:divBdr>
    </w:div>
    <w:div w:id="1189442918">
      <w:bodyDiv w:val="1"/>
      <w:marLeft w:val="0"/>
      <w:marRight w:val="0"/>
      <w:marTop w:val="0"/>
      <w:marBottom w:val="0"/>
      <w:divBdr>
        <w:top w:val="none" w:sz="0" w:space="0" w:color="auto"/>
        <w:left w:val="none" w:sz="0" w:space="0" w:color="auto"/>
        <w:bottom w:val="none" w:sz="0" w:space="0" w:color="auto"/>
        <w:right w:val="none" w:sz="0" w:space="0" w:color="auto"/>
      </w:divBdr>
    </w:div>
    <w:div w:id="1205673115">
      <w:bodyDiv w:val="1"/>
      <w:marLeft w:val="0"/>
      <w:marRight w:val="0"/>
      <w:marTop w:val="0"/>
      <w:marBottom w:val="0"/>
      <w:divBdr>
        <w:top w:val="none" w:sz="0" w:space="0" w:color="auto"/>
        <w:left w:val="none" w:sz="0" w:space="0" w:color="auto"/>
        <w:bottom w:val="none" w:sz="0" w:space="0" w:color="auto"/>
        <w:right w:val="none" w:sz="0" w:space="0" w:color="auto"/>
      </w:divBdr>
    </w:div>
    <w:div w:id="1251237359">
      <w:bodyDiv w:val="1"/>
      <w:marLeft w:val="0"/>
      <w:marRight w:val="0"/>
      <w:marTop w:val="0"/>
      <w:marBottom w:val="0"/>
      <w:divBdr>
        <w:top w:val="none" w:sz="0" w:space="0" w:color="auto"/>
        <w:left w:val="none" w:sz="0" w:space="0" w:color="auto"/>
        <w:bottom w:val="none" w:sz="0" w:space="0" w:color="auto"/>
        <w:right w:val="none" w:sz="0" w:space="0" w:color="auto"/>
      </w:divBdr>
    </w:div>
    <w:div w:id="1259563526">
      <w:bodyDiv w:val="1"/>
      <w:marLeft w:val="0"/>
      <w:marRight w:val="0"/>
      <w:marTop w:val="0"/>
      <w:marBottom w:val="0"/>
      <w:divBdr>
        <w:top w:val="none" w:sz="0" w:space="0" w:color="auto"/>
        <w:left w:val="none" w:sz="0" w:space="0" w:color="auto"/>
        <w:bottom w:val="none" w:sz="0" w:space="0" w:color="auto"/>
        <w:right w:val="none" w:sz="0" w:space="0" w:color="auto"/>
      </w:divBdr>
    </w:div>
    <w:div w:id="1291013287">
      <w:bodyDiv w:val="1"/>
      <w:marLeft w:val="0"/>
      <w:marRight w:val="0"/>
      <w:marTop w:val="0"/>
      <w:marBottom w:val="0"/>
      <w:divBdr>
        <w:top w:val="none" w:sz="0" w:space="0" w:color="auto"/>
        <w:left w:val="none" w:sz="0" w:space="0" w:color="auto"/>
        <w:bottom w:val="none" w:sz="0" w:space="0" w:color="auto"/>
        <w:right w:val="none" w:sz="0" w:space="0" w:color="auto"/>
      </w:divBdr>
    </w:div>
    <w:div w:id="1371567655">
      <w:bodyDiv w:val="1"/>
      <w:marLeft w:val="0"/>
      <w:marRight w:val="0"/>
      <w:marTop w:val="0"/>
      <w:marBottom w:val="0"/>
      <w:divBdr>
        <w:top w:val="none" w:sz="0" w:space="0" w:color="auto"/>
        <w:left w:val="none" w:sz="0" w:space="0" w:color="auto"/>
        <w:bottom w:val="none" w:sz="0" w:space="0" w:color="auto"/>
        <w:right w:val="none" w:sz="0" w:space="0" w:color="auto"/>
      </w:divBdr>
    </w:div>
    <w:div w:id="1387797459">
      <w:bodyDiv w:val="1"/>
      <w:marLeft w:val="0"/>
      <w:marRight w:val="0"/>
      <w:marTop w:val="0"/>
      <w:marBottom w:val="0"/>
      <w:divBdr>
        <w:top w:val="none" w:sz="0" w:space="0" w:color="auto"/>
        <w:left w:val="none" w:sz="0" w:space="0" w:color="auto"/>
        <w:bottom w:val="none" w:sz="0" w:space="0" w:color="auto"/>
        <w:right w:val="none" w:sz="0" w:space="0" w:color="auto"/>
      </w:divBdr>
    </w:div>
    <w:div w:id="1467048781">
      <w:bodyDiv w:val="1"/>
      <w:marLeft w:val="0"/>
      <w:marRight w:val="0"/>
      <w:marTop w:val="0"/>
      <w:marBottom w:val="0"/>
      <w:divBdr>
        <w:top w:val="none" w:sz="0" w:space="0" w:color="auto"/>
        <w:left w:val="none" w:sz="0" w:space="0" w:color="auto"/>
        <w:bottom w:val="none" w:sz="0" w:space="0" w:color="auto"/>
        <w:right w:val="none" w:sz="0" w:space="0" w:color="auto"/>
      </w:divBdr>
    </w:div>
    <w:div w:id="1539050504">
      <w:bodyDiv w:val="1"/>
      <w:marLeft w:val="0"/>
      <w:marRight w:val="0"/>
      <w:marTop w:val="0"/>
      <w:marBottom w:val="0"/>
      <w:divBdr>
        <w:top w:val="none" w:sz="0" w:space="0" w:color="auto"/>
        <w:left w:val="none" w:sz="0" w:space="0" w:color="auto"/>
        <w:bottom w:val="none" w:sz="0" w:space="0" w:color="auto"/>
        <w:right w:val="none" w:sz="0" w:space="0" w:color="auto"/>
      </w:divBdr>
    </w:div>
    <w:div w:id="1590312776">
      <w:bodyDiv w:val="1"/>
      <w:marLeft w:val="0"/>
      <w:marRight w:val="0"/>
      <w:marTop w:val="0"/>
      <w:marBottom w:val="0"/>
      <w:divBdr>
        <w:top w:val="none" w:sz="0" w:space="0" w:color="auto"/>
        <w:left w:val="none" w:sz="0" w:space="0" w:color="auto"/>
        <w:bottom w:val="none" w:sz="0" w:space="0" w:color="auto"/>
        <w:right w:val="none" w:sz="0" w:space="0" w:color="auto"/>
      </w:divBdr>
    </w:div>
    <w:div w:id="1605960572">
      <w:bodyDiv w:val="1"/>
      <w:marLeft w:val="0"/>
      <w:marRight w:val="0"/>
      <w:marTop w:val="0"/>
      <w:marBottom w:val="0"/>
      <w:divBdr>
        <w:top w:val="none" w:sz="0" w:space="0" w:color="auto"/>
        <w:left w:val="none" w:sz="0" w:space="0" w:color="auto"/>
        <w:bottom w:val="none" w:sz="0" w:space="0" w:color="auto"/>
        <w:right w:val="none" w:sz="0" w:space="0" w:color="auto"/>
      </w:divBdr>
    </w:div>
    <w:div w:id="1664551073">
      <w:bodyDiv w:val="1"/>
      <w:marLeft w:val="0"/>
      <w:marRight w:val="0"/>
      <w:marTop w:val="0"/>
      <w:marBottom w:val="0"/>
      <w:divBdr>
        <w:top w:val="none" w:sz="0" w:space="0" w:color="auto"/>
        <w:left w:val="none" w:sz="0" w:space="0" w:color="auto"/>
        <w:bottom w:val="none" w:sz="0" w:space="0" w:color="auto"/>
        <w:right w:val="none" w:sz="0" w:space="0" w:color="auto"/>
      </w:divBdr>
    </w:div>
    <w:div w:id="1708287072">
      <w:bodyDiv w:val="1"/>
      <w:marLeft w:val="0"/>
      <w:marRight w:val="0"/>
      <w:marTop w:val="0"/>
      <w:marBottom w:val="0"/>
      <w:divBdr>
        <w:top w:val="none" w:sz="0" w:space="0" w:color="auto"/>
        <w:left w:val="none" w:sz="0" w:space="0" w:color="auto"/>
        <w:bottom w:val="none" w:sz="0" w:space="0" w:color="auto"/>
        <w:right w:val="none" w:sz="0" w:space="0" w:color="auto"/>
      </w:divBdr>
    </w:div>
    <w:div w:id="1734310079">
      <w:bodyDiv w:val="1"/>
      <w:marLeft w:val="0"/>
      <w:marRight w:val="0"/>
      <w:marTop w:val="0"/>
      <w:marBottom w:val="0"/>
      <w:divBdr>
        <w:top w:val="none" w:sz="0" w:space="0" w:color="auto"/>
        <w:left w:val="none" w:sz="0" w:space="0" w:color="auto"/>
        <w:bottom w:val="none" w:sz="0" w:space="0" w:color="auto"/>
        <w:right w:val="none" w:sz="0" w:space="0" w:color="auto"/>
      </w:divBdr>
    </w:div>
    <w:div w:id="1787505783">
      <w:bodyDiv w:val="1"/>
      <w:marLeft w:val="0"/>
      <w:marRight w:val="0"/>
      <w:marTop w:val="0"/>
      <w:marBottom w:val="0"/>
      <w:divBdr>
        <w:top w:val="none" w:sz="0" w:space="0" w:color="auto"/>
        <w:left w:val="none" w:sz="0" w:space="0" w:color="auto"/>
        <w:bottom w:val="none" w:sz="0" w:space="0" w:color="auto"/>
        <w:right w:val="none" w:sz="0" w:space="0" w:color="auto"/>
      </w:divBdr>
    </w:div>
    <w:div w:id="1793355899">
      <w:bodyDiv w:val="1"/>
      <w:marLeft w:val="0"/>
      <w:marRight w:val="0"/>
      <w:marTop w:val="0"/>
      <w:marBottom w:val="0"/>
      <w:divBdr>
        <w:top w:val="none" w:sz="0" w:space="0" w:color="auto"/>
        <w:left w:val="none" w:sz="0" w:space="0" w:color="auto"/>
        <w:bottom w:val="none" w:sz="0" w:space="0" w:color="auto"/>
        <w:right w:val="none" w:sz="0" w:space="0" w:color="auto"/>
      </w:divBdr>
    </w:div>
    <w:div w:id="1808863709">
      <w:bodyDiv w:val="1"/>
      <w:marLeft w:val="0"/>
      <w:marRight w:val="0"/>
      <w:marTop w:val="0"/>
      <w:marBottom w:val="0"/>
      <w:divBdr>
        <w:top w:val="none" w:sz="0" w:space="0" w:color="auto"/>
        <w:left w:val="none" w:sz="0" w:space="0" w:color="auto"/>
        <w:bottom w:val="none" w:sz="0" w:space="0" w:color="auto"/>
        <w:right w:val="none" w:sz="0" w:space="0" w:color="auto"/>
      </w:divBdr>
    </w:div>
    <w:div w:id="1839611103">
      <w:bodyDiv w:val="1"/>
      <w:marLeft w:val="0"/>
      <w:marRight w:val="0"/>
      <w:marTop w:val="0"/>
      <w:marBottom w:val="0"/>
      <w:divBdr>
        <w:top w:val="none" w:sz="0" w:space="0" w:color="auto"/>
        <w:left w:val="none" w:sz="0" w:space="0" w:color="auto"/>
        <w:bottom w:val="none" w:sz="0" w:space="0" w:color="auto"/>
        <w:right w:val="none" w:sz="0" w:space="0" w:color="auto"/>
      </w:divBdr>
    </w:div>
    <w:div w:id="1842550399">
      <w:bodyDiv w:val="1"/>
      <w:marLeft w:val="0"/>
      <w:marRight w:val="0"/>
      <w:marTop w:val="0"/>
      <w:marBottom w:val="0"/>
      <w:divBdr>
        <w:top w:val="none" w:sz="0" w:space="0" w:color="auto"/>
        <w:left w:val="none" w:sz="0" w:space="0" w:color="auto"/>
        <w:bottom w:val="none" w:sz="0" w:space="0" w:color="auto"/>
        <w:right w:val="none" w:sz="0" w:space="0" w:color="auto"/>
      </w:divBdr>
    </w:div>
    <w:div w:id="1879006570">
      <w:bodyDiv w:val="1"/>
      <w:marLeft w:val="0"/>
      <w:marRight w:val="0"/>
      <w:marTop w:val="0"/>
      <w:marBottom w:val="0"/>
      <w:divBdr>
        <w:top w:val="none" w:sz="0" w:space="0" w:color="auto"/>
        <w:left w:val="none" w:sz="0" w:space="0" w:color="auto"/>
        <w:bottom w:val="none" w:sz="0" w:space="0" w:color="auto"/>
        <w:right w:val="none" w:sz="0" w:space="0" w:color="auto"/>
      </w:divBdr>
    </w:div>
    <w:div w:id="1913806229">
      <w:bodyDiv w:val="1"/>
      <w:marLeft w:val="0"/>
      <w:marRight w:val="0"/>
      <w:marTop w:val="0"/>
      <w:marBottom w:val="0"/>
      <w:divBdr>
        <w:top w:val="none" w:sz="0" w:space="0" w:color="auto"/>
        <w:left w:val="none" w:sz="0" w:space="0" w:color="auto"/>
        <w:bottom w:val="none" w:sz="0" w:space="0" w:color="auto"/>
        <w:right w:val="none" w:sz="0" w:space="0" w:color="auto"/>
      </w:divBdr>
    </w:div>
    <w:div w:id="2037582428">
      <w:bodyDiv w:val="1"/>
      <w:marLeft w:val="0"/>
      <w:marRight w:val="0"/>
      <w:marTop w:val="0"/>
      <w:marBottom w:val="0"/>
      <w:divBdr>
        <w:top w:val="none" w:sz="0" w:space="0" w:color="auto"/>
        <w:left w:val="none" w:sz="0" w:space="0" w:color="auto"/>
        <w:bottom w:val="none" w:sz="0" w:space="0" w:color="auto"/>
        <w:right w:val="none" w:sz="0" w:space="0" w:color="auto"/>
      </w:divBdr>
    </w:div>
    <w:div w:id="2059428233">
      <w:bodyDiv w:val="1"/>
      <w:marLeft w:val="0"/>
      <w:marRight w:val="0"/>
      <w:marTop w:val="0"/>
      <w:marBottom w:val="0"/>
      <w:divBdr>
        <w:top w:val="none" w:sz="0" w:space="0" w:color="auto"/>
        <w:left w:val="none" w:sz="0" w:space="0" w:color="auto"/>
        <w:bottom w:val="none" w:sz="0" w:space="0" w:color="auto"/>
        <w:right w:val="none" w:sz="0" w:space="0" w:color="auto"/>
      </w:divBdr>
    </w:div>
    <w:div w:id="2078240662">
      <w:bodyDiv w:val="1"/>
      <w:marLeft w:val="0"/>
      <w:marRight w:val="0"/>
      <w:marTop w:val="0"/>
      <w:marBottom w:val="0"/>
      <w:divBdr>
        <w:top w:val="none" w:sz="0" w:space="0" w:color="auto"/>
        <w:left w:val="none" w:sz="0" w:space="0" w:color="auto"/>
        <w:bottom w:val="none" w:sz="0" w:space="0" w:color="auto"/>
        <w:right w:val="none" w:sz="0" w:space="0" w:color="auto"/>
      </w:divBdr>
    </w:div>
    <w:div w:id="2081520288">
      <w:bodyDiv w:val="1"/>
      <w:marLeft w:val="0"/>
      <w:marRight w:val="0"/>
      <w:marTop w:val="0"/>
      <w:marBottom w:val="0"/>
      <w:divBdr>
        <w:top w:val="none" w:sz="0" w:space="0" w:color="auto"/>
        <w:left w:val="none" w:sz="0" w:space="0" w:color="auto"/>
        <w:bottom w:val="none" w:sz="0" w:space="0" w:color="auto"/>
        <w:right w:val="none" w:sz="0" w:space="0" w:color="auto"/>
      </w:divBdr>
    </w:div>
    <w:div w:id="2085756956">
      <w:bodyDiv w:val="1"/>
      <w:marLeft w:val="0"/>
      <w:marRight w:val="0"/>
      <w:marTop w:val="0"/>
      <w:marBottom w:val="0"/>
      <w:divBdr>
        <w:top w:val="none" w:sz="0" w:space="0" w:color="auto"/>
        <w:left w:val="none" w:sz="0" w:space="0" w:color="auto"/>
        <w:bottom w:val="none" w:sz="0" w:space="0" w:color="auto"/>
        <w:right w:val="none" w:sz="0" w:space="0" w:color="auto"/>
      </w:divBdr>
    </w:div>
    <w:div w:id="21068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6F83-51F2-443A-ABF1-3FEA4431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Poppe, Sommer (DOJ)</dc:creator>
  <cp:lastModifiedBy>Steele, Naomi (DOS)</cp:lastModifiedBy>
  <cp:revision>3</cp:revision>
  <cp:lastPrinted>2020-03-04T19:51:00Z</cp:lastPrinted>
  <dcterms:created xsi:type="dcterms:W3CDTF">2023-09-06T15:37:00Z</dcterms:created>
  <dcterms:modified xsi:type="dcterms:W3CDTF">2023-09-06T15:46:00Z</dcterms:modified>
</cp:coreProperties>
</file>