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361" w:rsidRPr="00BA66C7" w:rsidRDefault="00731361" w:rsidP="00731361">
      <w:pPr>
        <w:widowControl w:val="0"/>
        <w:jc w:val="center"/>
        <w:rPr>
          <w:rFonts w:eastAsia="Times New Roman" w:cs="Times New Roman"/>
          <w:b/>
          <w:bCs/>
          <w:snapToGrid w:val="0"/>
          <w:szCs w:val="24"/>
        </w:rPr>
      </w:pPr>
      <w:r w:rsidRPr="00BA66C7">
        <w:rPr>
          <w:rFonts w:eastAsia="Times New Roman" w:cs="Times New Roman"/>
          <w:b/>
          <w:bCs/>
          <w:snapToGrid w:val="0"/>
          <w:szCs w:val="24"/>
        </w:rPr>
        <w:t>BEFORE THE PUBLIC SERVICE COMMISSION</w:t>
      </w:r>
    </w:p>
    <w:p w:rsidR="00731361" w:rsidRPr="00BA66C7" w:rsidRDefault="00731361" w:rsidP="00731361">
      <w:pPr>
        <w:rPr>
          <w:rFonts w:eastAsia="Calibri" w:cs="Times New Roman"/>
          <w:b/>
          <w:szCs w:val="24"/>
        </w:rPr>
      </w:pPr>
    </w:p>
    <w:p w:rsidR="00731361" w:rsidRPr="00BA66C7" w:rsidRDefault="00731361" w:rsidP="00731361">
      <w:pPr>
        <w:tabs>
          <w:tab w:val="center" w:pos="4680"/>
        </w:tabs>
        <w:rPr>
          <w:rFonts w:eastAsia="Calibri" w:cs="Times New Roman"/>
          <w:b/>
          <w:szCs w:val="24"/>
        </w:rPr>
      </w:pPr>
      <w:r w:rsidRPr="00BA66C7">
        <w:rPr>
          <w:rFonts w:eastAsia="Calibri" w:cs="Times New Roman"/>
          <w:b/>
          <w:szCs w:val="24"/>
        </w:rPr>
        <w:tab/>
        <w:t>OF THE STATE OF DELAWARE</w:t>
      </w:r>
    </w:p>
    <w:p w:rsidR="00731361" w:rsidRDefault="00731361" w:rsidP="00731361">
      <w:pPr>
        <w:rPr>
          <w:rFonts w:ascii="Courier New" w:eastAsia="Calibri" w:hAnsi="Courier New" w:cs="Courier New"/>
          <w:sz w:val="22"/>
        </w:rPr>
      </w:pPr>
    </w:p>
    <w:p w:rsidR="001507F6" w:rsidRDefault="001507F6" w:rsidP="00731361">
      <w:pPr>
        <w:rPr>
          <w:rFonts w:ascii="Courier New" w:eastAsia="Calibri" w:hAnsi="Courier New" w:cs="Courier New"/>
          <w:sz w:val="22"/>
        </w:rPr>
      </w:pPr>
    </w:p>
    <w:p w:rsidR="00D319BA" w:rsidRDefault="00D319BA" w:rsidP="00D319BA">
      <w:pPr>
        <w:pStyle w:val="BodyText"/>
        <w:tabs>
          <w:tab w:val="left" w:pos="5341"/>
        </w:tabs>
        <w:spacing w:before="10"/>
        <w:ind w:right="4156" w:firstLine="0"/>
      </w:pPr>
      <w:r>
        <w:t>IN THE MATTER OF THE NOTICE OF</w:t>
      </w:r>
      <w:r>
        <w:tab/>
        <w:t>)</w:t>
      </w:r>
    </w:p>
    <w:p w:rsidR="00D319BA" w:rsidRDefault="00D319BA" w:rsidP="00D319BA">
      <w:pPr>
        <w:pStyle w:val="BodyText"/>
        <w:tabs>
          <w:tab w:val="left" w:pos="5340"/>
          <w:tab w:val="left" w:pos="5880"/>
        </w:tabs>
        <w:ind w:right="591" w:firstLine="0"/>
        <w:rPr>
          <w:spacing w:val="-1"/>
        </w:rPr>
      </w:pPr>
      <w:r>
        <w:rPr>
          <w:spacing w:val="-1"/>
        </w:rPr>
        <w:t xml:space="preserve">POTENTIAL VIOLATION OF 26 </w:t>
      </w:r>
      <w:r>
        <w:rPr>
          <w:i/>
          <w:spacing w:val="-1"/>
        </w:rPr>
        <w:t>DEL. ADMIN. C</w:t>
      </w:r>
      <w:r>
        <w:rPr>
          <w:spacing w:val="-1"/>
        </w:rPr>
        <w:t>.   )</w:t>
      </w:r>
    </w:p>
    <w:p w:rsidR="00D319BA" w:rsidRDefault="00D319BA" w:rsidP="00D319BA">
      <w:pPr>
        <w:pStyle w:val="BodyText"/>
        <w:tabs>
          <w:tab w:val="left" w:pos="5340"/>
          <w:tab w:val="left" w:pos="5880"/>
        </w:tabs>
        <w:ind w:right="591" w:firstLine="0"/>
      </w:pPr>
      <w:r>
        <w:rPr>
          <w:spacing w:val="-1"/>
        </w:rPr>
        <w:t>§ 80001 AND ASSOCIATED CIVIL PENALTIES</w:t>
      </w:r>
      <w:r>
        <w:rPr>
          <w:spacing w:val="-1"/>
        </w:rPr>
        <w:tab/>
      </w:r>
      <w:r>
        <w:rPr>
          <w:w w:val="95"/>
        </w:rPr>
        <w:t>)</w:t>
      </w:r>
      <w:r w:rsidRPr="00D319BA">
        <w:rPr>
          <w:spacing w:val="-1"/>
        </w:rPr>
        <w:t xml:space="preserve"> </w:t>
      </w:r>
      <w:r>
        <w:rPr>
          <w:spacing w:val="-1"/>
        </w:rPr>
        <w:t xml:space="preserve">          DOCKET NO.</w:t>
      </w:r>
      <w:r>
        <w:rPr>
          <w:spacing w:val="1"/>
        </w:rPr>
        <w:t xml:space="preserve"> </w:t>
      </w:r>
      <w:r w:rsidR="00DD18E3">
        <w:rPr>
          <w:spacing w:val="-1"/>
        </w:rPr>
        <w:t>20-0</w:t>
      </w:r>
      <w:bookmarkStart w:id="0" w:name="_GoBack"/>
      <w:bookmarkEnd w:id="0"/>
      <w:r w:rsidR="00DD18E3">
        <w:rPr>
          <w:spacing w:val="-1"/>
        </w:rPr>
        <w:t>166</w:t>
      </w:r>
      <w:r w:rsidR="00AA0CDC">
        <w:rPr>
          <w:spacing w:val="-1"/>
        </w:rPr>
        <w:t xml:space="preserve"> </w:t>
      </w:r>
      <w:r>
        <w:rPr>
          <w:spacing w:val="-1"/>
        </w:rPr>
        <w:t xml:space="preserve"> </w:t>
      </w:r>
      <w:r w:rsidR="00B516D3">
        <w:rPr>
          <w:spacing w:val="-1"/>
        </w:rPr>
        <w:t xml:space="preserve">ASSESSED </w:t>
      </w:r>
      <w:r w:rsidR="00AA0CDC">
        <w:rPr>
          <w:spacing w:val="-1"/>
        </w:rPr>
        <w:t xml:space="preserve">TO </w:t>
      </w:r>
      <w:r w:rsidR="00B11100">
        <w:rPr>
          <w:spacing w:val="-1"/>
        </w:rPr>
        <w:t xml:space="preserve">PENINSULA OIL </w:t>
      </w:r>
      <w:r w:rsidR="00B516D3">
        <w:rPr>
          <w:spacing w:val="-1"/>
        </w:rPr>
        <w:t>CO.</w:t>
      </w:r>
      <w:r w:rsidR="00B11100">
        <w:rPr>
          <w:spacing w:val="-1"/>
        </w:rPr>
        <w:t>,</w:t>
      </w:r>
      <w:r w:rsidR="00B516D3">
        <w:rPr>
          <w:spacing w:val="-1"/>
        </w:rPr>
        <w:t xml:space="preserve"> INC</w:t>
      </w:r>
      <w:r w:rsidR="00B11100">
        <w:rPr>
          <w:spacing w:val="-1"/>
        </w:rPr>
        <w:t>.</w:t>
      </w:r>
      <w:r>
        <w:rPr>
          <w:spacing w:val="-1"/>
        </w:rPr>
        <w:tab/>
      </w:r>
      <w:r>
        <w:t>)</w:t>
      </w:r>
    </w:p>
    <w:p w:rsidR="00D319BA" w:rsidRDefault="00001E08" w:rsidP="00D319BA">
      <w:pPr>
        <w:pStyle w:val="BodyText"/>
        <w:tabs>
          <w:tab w:val="left" w:pos="5341"/>
        </w:tabs>
        <w:ind w:firstLine="0"/>
      </w:pPr>
      <w:r>
        <w:t>(OPENED SEPTEMBER 18, 2019</w:t>
      </w:r>
      <w:r w:rsidR="00D319BA">
        <w:t>)</w:t>
      </w:r>
      <w:r w:rsidR="00D319BA">
        <w:tab/>
        <w:t>)</w:t>
      </w:r>
    </w:p>
    <w:p w:rsidR="00731361" w:rsidRDefault="00731361" w:rsidP="00FC6F37">
      <w:pPr>
        <w:rPr>
          <w:rFonts w:ascii="Courier New" w:eastAsia="Calibri" w:hAnsi="Courier New" w:cs="Courier New"/>
          <w:b/>
          <w:sz w:val="22"/>
        </w:rPr>
      </w:pPr>
    </w:p>
    <w:p w:rsidR="00FC6F37" w:rsidRDefault="00FC6F37" w:rsidP="00FC6F37">
      <w:pPr>
        <w:rPr>
          <w:rFonts w:ascii="Courier New" w:eastAsia="Calibri" w:hAnsi="Courier New" w:cs="Courier New"/>
          <w:b/>
          <w:sz w:val="22"/>
        </w:rPr>
      </w:pPr>
    </w:p>
    <w:p w:rsidR="00731361" w:rsidRPr="00DF177F" w:rsidRDefault="00731361" w:rsidP="00FC6F37">
      <w:pPr>
        <w:jc w:val="center"/>
        <w:rPr>
          <w:rFonts w:eastAsia="Calibri" w:cs="Times New Roman"/>
          <w:b/>
          <w:szCs w:val="24"/>
        </w:rPr>
      </w:pPr>
      <w:r w:rsidRPr="00DF177F">
        <w:rPr>
          <w:rFonts w:eastAsia="Calibri" w:cs="Times New Roman"/>
          <w:b/>
          <w:szCs w:val="24"/>
        </w:rPr>
        <w:t xml:space="preserve">ORDER NO. </w:t>
      </w:r>
      <w:r w:rsidR="00DF177F">
        <w:rPr>
          <w:rFonts w:eastAsia="Calibri" w:cs="Times New Roman"/>
          <w:b/>
          <w:szCs w:val="24"/>
        </w:rPr>
        <w:t xml:space="preserve"> </w:t>
      </w:r>
      <w:r w:rsidR="00DF177F">
        <w:rPr>
          <w:rFonts w:eastAsia="Calibri" w:cs="Times New Roman"/>
          <w:b/>
          <w:szCs w:val="24"/>
          <w:u w:val="single"/>
        </w:rPr>
        <w:t>9562</w:t>
      </w:r>
    </w:p>
    <w:p w:rsidR="00731361" w:rsidRPr="00BA66C7" w:rsidRDefault="00731361" w:rsidP="00731361">
      <w:pPr>
        <w:tabs>
          <w:tab w:val="center" w:pos="4680"/>
        </w:tabs>
        <w:rPr>
          <w:rFonts w:eastAsia="Calibri" w:cs="Times New Roman"/>
          <w:szCs w:val="24"/>
        </w:rPr>
      </w:pPr>
    </w:p>
    <w:p w:rsidR="00731361" w:rsidRPr="00BA66C7" w:rsidRDefault="00731361" w:rsidP="00731361">
      <w:pPr>
        <w:spacing w:line="480" w:lineRule="auto"/>
        <w:ind w:firstLine="720"/>
        <w:jc w:val="both"/>
        <w:rPr>
          <w:rFonts w:eastAsia="Times New Roman" w:cs="Times New Roman"/>
          <w:szCs w:val="24"/>
        </w:rPr>
      </w:pPr>
      <w:r w:rsidRPr="00BA66C7">
        <w:rPr>
          <w:rFonts w:eastAsia="Times New Roman" w:cs="Times New Roman"/>
          <w:b/>
          <w:szCs w:val="24"/>
        </w:rPr>
        <w:t xml:space="preserve">AND NOW, </w:t>
      </w:r>
      <w:r w:rsidRPr="00BA66C7">
        <w:rPr>
          <w:rFonts w:eastAsia="Times New Roman" w:cs="Times New Roman"/>
          <w:szCs w:val="24"/>
        </w:rPr>
        <w:t xml:space="preserve">this </w:t>
      </w:r>
      <w:r w:rsidR="00B516D3">
        <w:rPr>
          <w:rFonts w:eastAsia="Times New Roman" w:cs="Times New Roman"/>
          <w:szCs w:val="24"/>
        </w:rPr>
        <w:t>18</w:t>
      </w:r>
      <w:r w:rsidR="0096035A">
        <w:rPr>
          <w:rFonts w:eastAsia="Times New Roman" w:cs="Times New Roman"/>
          <w:szCs w:val="24"/>
        </w:rPr>
        <w:t>th</w:t>
      </w:r>
      <w:r w:rsidR="00C52D4B" w:rsidRPr="00BA66C7">
        <w:rPr>
          <w:rFonts w:eastAsia="Times New Roman" w:cs="Times New Roman"/>
          <w:szCs w:val="24"/>
        </w:rPr>
        <w:t xml:space="preserve"> </w:t>
      </w:r>
      <w:r w:rsidRPr="00BA66C7">
        <w:rPr>
          <w:rFonts w:eastAsia="Times New Roman" w:cs="Times New Roman"/>
          <w:szCs w:val="24"/>
        </w:rPr>
        <w:t xml:space="preserve">day of </w:t>
      </w:r>
      <w:r w:rsidR="00B516D3">
        <w:rPr>
          <w:rFonts w:eastAsia="Times New Roman" w:cs="Times New Roman"/>
          <w:szCs w:val="24"/>
        </w:rPr>
        <w:t>March</w:t>
      </w:r>
      <w:r w:rsidR="00D319BA">
        <w:rPr>
          <w:rFonts w:eastAsia="Times New Roman" w:cs="Times New Roman"/>
          <w:szCs w:val="24"/>
        </w:rPr>
        <w:t xml:space="preserve"> 2020</w:t>
      </w:r>
      <w:r w:rsidRPr="00BA66C7">
        <w:rPr>
          <w:rFonts w:eastAsia="Times New Roman" w:cs="Times New Roman"/>
          <w:szCs w:val="24"/>
        </w:rPr>
        <w:t>, the Delaware Public Service Commission (“Commission”) determines and orders the following:</w:t>
      </w:r>
    </w:p>
    <w:p w:rsidR="00731361" w:rsidRPr="00BA66C7" w:rsidRDefault="00731361" w:rsidP="00731361">
      <w:pPr>
        <w:spacing w:line="480" w:lineRule="auto"/>
        <w:jc w:val="both"/>
        <w:rPr>
          <w:rFonts w:eastAsia="Calibri" w:cs="Times New Roman"/>
          <w:szCs w:val="24"/>
        </w:rPr>
      </w:pPr>
      <w:r w:rsidRPr="00BA66C7">
        <w:rPr>
          <w:rFonts w:eastAsia="Times New Roman" w:cs="Times New Roman"/>
          <w:szCs w:val="24"/>
        </w:rPr>
        <w:tab/>
      </w:r>
      <w:r w:rsidRPr="00BA66C7">
        <w:rPr>
          <w:rFonts w:eastAsia="Times New Roman" w:cs="Times New Roman"/>
          <w:b/>
          <w:szCs w:val="24"/>
        </w:rPr>
        <w:t>WHEREAS</w:t>
      </w:r>
      <w:r w:rsidRPr="00BA66C7">
        <w:rPr>
          <w:rFonts w:eastAsia="Times New Roman" w:cs="Times New Roman"/>
          <w:szCs w:val="24"/>
        </w:rPr>
        <w:t>, t</w:t>
      </w:r>
      <w:r w:rsidRPr="00BA66C7">
        <w:rPr>
          <w:rFonts w:eastAsia="Calibri" w:cs="Times New Roman"/>
          <w:szCs w:val="24"/>
        </w:rPr>
        <w:t>he Commission has qualified for federal certification to operate a state pipeline safety compliance program pursuant to 49 U.S.C. §</w:t>
      </w:r>
      <w:r w:rsidR="00736217">
        <w:rPr>
          <w:rFonts w:eastAsia="Calibri" w:cs="Times New Roman"/>
          <w:szCs w:val="24"/>
        </w:rPr>
        <w:t xml:space="preserve"> </w:t>
      </w:r>
      <w:r w:rsidRPr="00BA66C7">
        <w:rPr>
          <w:rFonts w:eastAsia="Calibri" w:cs="Times New Roman"/>
          <w:szCs w:val="24"/>
        </w:rPr>
        <w:t xml:space="preserve">60105(a) and has the authority pursuant to 26 </w:t>
      </w:r>
      <w:r w:rsidRPr="00BA66C7">
        <w:rPr>
          <w:rFonts w:eastAsia="Calibri" w:cs="Times New Roman"/>
          <w:i/>
          <w:szCs w:val="24"/>
        </w:rPr>
        <w:t>Del. C</w:t>
      </w:r>
      <w:r w:rsidRPr="00BA66C7">
        <w:rPr>
          <w:rFonts w:eastAsia="Calibri" w:cs="Times New Roman"/>
          <w:szCs w:val="24"/>
        </w:rPr>
        <w:t>. §</w:t>
      </w:r>
      <w:r w:rsidR="00CD7C7A">
        <w:rPr>
          <w:rFonts w:eastAsia="Calibri" w:cs="Times New Roman"/>
          <w:szCs w:val="24"/>
        </w:rPr>
        <w:t xml:space="preserve"> </w:t>
      </w:r>
      <w:r w:rsidRPr="00BA66C7">
        <w:rPr>
          <w:rFonts w:eastAsia="Calibri" w:cs="Times New Roman"/>
          <w:szCs w:val="24"/>
        </w:rPr>
        <w:t>821 to make and enforce rules required by the federal Nat</w:t>
      </w:r>
      <w:r w:rsidR="00C56172">
        <w:rPr>
          <w:rFonts w:eastAsia="Calibri" w:cs="Times New Roman"/>
          <w:szCs w:val="24"/>
        </w:rPr>
        <w:t>ural</w:t>
      </w:r>
      <w:r w:rsidRPr="00BA66C7">
        <w:rPr>
          <w:rFonts w:eastAsia="Calibri" w:cs="Times New Roman"/>
          <w:szCs w:val="24"/>
        </w:rPr>
        <w:t xml:space="preserve"> Gas Pipeline Safety Act of 1968, as amended (49 U.S.C. Chapter 601); and</w:t>
      </w:r>
    </w:p>
    <w:p w:rsidR="00731361" w:rsidRPr="00BA66C7" w:rsidRDefault="00731361" w:rsidP="00731361">
      <w:pPr>
        <w:spacing w:line="480" w:lineRule="auto"/>
        <w:jc w:val="both"/>
        <w:rPr>
          <w:rFonts w:eastAsia="Calibri" w:cs="Times New Roman"/>
          <w:szCs w:val="24"/>
        </w:rPr>
      </w:pPr>
      <w:r w:rsidRPr="00BA66C7">
        <w:rPr>
          <w:rFonts w:eastAsia="Calibri" w:cs="Times New Roman"/>
          <w:szCs w:val="24"/>
        </w:rPr>
        <w:tab/>
      </w:r>
      <w:r w:rsidRPr="00BA66C7">
        <w:rPr>
          <w:rFonts w:eastAsia="Calibri" w:cs="Times New Roman"/>
          <w:b/>
          <w:szCs w:val="24"/>
        </w:rPr>
        <w:t>WHEREAS</w:t>
      </w:r>
      <w:r w:rsidRPr="00BA66C7">
        <w:rPr>
          <w:rFonts w:eastAsia="Calibri" w:cs="Times New Roman"/>
          <w:szCs w:val="24"/>
        </w:rPr>
        <w:t xml:space="preserve">, the </w:t>
      </w:r>
      <w:r w:rsidR="00BB2C98" w:rsidRPr="00BB2C98">
        <w:rPr>
          <w:rFonts w:eastAsia="Calibri" w:cs="Times New Roman"/>
          <w:szCs w:val="24"/>
        </w:rPr>
        <w:t>Federal Pipeline Safety Regulations, 49 C.F.R., Parts 190-193 and 198-199,</w:t>
      </w:r>
      <w:r w:rsidR="00BB2C98">
        <w:rPr>
          <w:rFonts w:eastAsia="Calibri" w:cs="Times New Roman"/>
          <w:szCs w:val="24"/>
        </w:rPr>
        <w:t xml:space="preserve"> authorize the </w:t>
      </w:r>
      <w:r w:rsidRPr="00BA66C7">
        <w:rPr>
          <w:rFonts w:eastAsia="Calibri" w:cs="Times New Roman"/>
          <w:szCs w:val="24"/>
        </w:rPr>
        <w:t>Commission to order remedial actions and impose civil penalties where appropriate; and</w:t>
      </w:r>
    </w:p>
    <w:p w:rsidR="00731361" w:rsidRPr="00BA66C7" w:rsidRDefault="00731361" w:rsidP="00731361">
      <w:pPr>
        <w:spacing w:line="480" w:lineRule="auto"/>
        <w:jc w:val="both"/>
        <w:rPr>
          <w:rFonts w:eastAsia="Calibri" w:cs="Times New Roman"/>
          <w:szCs w:val="24"/>
        </w:rPr>
      </w:pPr>
      <w:r w:rsidRPr="00BA66C7">
        <w:rPr>
          <w:rFonts w:eastAsia="Calibri" w:cs="Times New Roman"/>
          <w:b/>
          <w:szCs w:val="24"/>
        </w:rPr>
        <w:tab/>
        <w:t>WHEREAS</w:t>
      </w:r>
      <w:r w:rsidRPr="00BA66C7">
        <w:rPr>
          <w:rFonts w:eastAsia="Calibri" w:cs="Times New Roman"/>
          <w:szCs w:val="24"/>
        </w:rPr>
        <w:t xml:space="preserve">, </w:t>
      </w:r>
      <w:r w:rsidR="00B11100">
        <w:rPr>
          <w:rFonts w:eastAsia="Calibri" w:cs="Times New Roman"/>
          <w:szCs w:val="24"/>
        </w:rPr>
        <w:t xml:space="preserve">Peninsula Oil Co., </w:t>
      </w:r>
      <w:r w:rsidR="00B516D3">
        <w:rPr>
          <w:rFonts w:eastAsia="Calibri" w:cs="Times New Roman"/>
          <w:szCs w:val="24"/>
        </w:rPr>
        <w:t>Inc. (“Peninsula”)</w:t>
      </w:r>
      <w:r w:rsidRPr="00BA66C7">
        <w:rPr>
          <w:rFonts w:eastAsia="Calibri" w:cs="Times New Roman"/>
          <w:szCs w:val="24"/>
        </w:rPr>
        <w:t xml:space="preserve"> is an “Operator” as set forth in 26 </w:t>
      </w:r>
      <w:r w:rsidRPr="00BA66C7">
        <w:rPr>
          <w:rFonts w:eastAsia="Calibri" w:cs="Times New Roman"/>
          <w:i/>
          <w:szCs w:val="24"/>
        </w:rPr>
        <w:t>Del. Admin. C</w:t>
      </w:r>
      <w:r w:rsidRPr="00BA66C7">
        <w:rPr>
          <w:rFonts w:eastAsia="Calibri" w:cs="Times New Roman"/>
          <w:szCs w:val="24"/>
        </w:rPr>
        <w:t>. §</w:t>
      </w:r>
      <w:r w:rsidR="00CD7C7A">
        <w:rPr>
          <w:rFonts w:eastAsia="Calibri" w:cs="Times New Roman"/>
          <w:szCs w:val="24"/>
        </w:rPr>
        <w:t xml:space="preserve"> </w:t>
      </w:r>
      <w:r w:rsidRPr="00BA66C7">
        <w:rPr>
          <w:rFonts w:eastAsia="Calibri" w:cs="Times New Roman"/>
          <w:szCs w:val="24"/>
        </w:rPr>
        <w:t xml:space="preserve">8001-1.0 and 26 </w:t>
      </w:r>
      <w:r w:rsidRPr="00BA66C7">
        <w:rPr>
          <w:rFonts w:eastAsia="Calibri" w:cs="Times New Roman"/>
          <w:i/>
          <w:szCs w:val="24"/>
        </w:rPr>
        <w:t>Del. C.</w:t>
      </w:r>
      <w:r w:rsidRPr="00BA66C7">
        <w:rPr>
          <w:rFonts w:eastAsia="Calibri" w:cs="Times New Roman"/>
          <w:szCs w:val="24"/>
        </w:rPr>
        <w:t xml:space="preserve"> §</w:t>
      </w:r>
      <w:r w:rsidR="00CD7C7A">
        <w:rPr>
          <w:rFonts w:eastAsia="Calibri" w:cs="Times New Roman"/>
          <w:szCs w:val="24"/>
        </w:rPr>
        <w:t xml:space="preserve"> </w:t>
      </w:r>
      <w:r w:rsidRPr="00BA66C7">
        <w:rPr>
          <w:rFonts w:eastAsia="Calibri" w:cs="Times New Roman"/>
          <w:szCs w:val="24"/>
        </w:rPr>
        <w:t xml:space="preserve">802(11) in that </w:t>
      </w:r>
      <w:r w:rsidR="00B516D3">
        <w:rPr>
          <w:rFonts w:eastAsia="Calibri" w:cs="Times New Roman"/>
          <w:szCs w:val="24"/>
        </w:rPr>
        <w:t>Peninsula</w:t>
      </w:r>
      <w:r w:rsidRPr="00BA66C7">
        <w:rPr>
          <w:rFonts w:eastAsia="Calibri" w:cs="Times New Roman"/>
          <w:szCs w:val="24"/>
        </w:rPr>
        <w:t xml:space="preserve"> acts as an operator of a buried pipeline facility used in the transportation of gas</w:t>
      </w:r>
      <w:r w:rsidR="00053F3E" w:rsidRPr="00BA66C7">
        <w:rPr>
          <w:rFonts w:eastAsia="Calibri" w:cs="Times New Roman"/>
          <w:szCs w:val="24"/>
        </w:rPr>
        <w:t>, such as propane and natural gas,</w:t>
      </w:r>
      <w:r w:rsidRPr="00BA66C7">
        <w:rPr>
          <w:rFonts w:eastAsia="Calibri" w:cs="Times New Roman"/>
          <w:szCs w:val="24"/>
        </w:rPr>
        <w:t xml:space="preserve"> within the State of Delaware and therefore falls within the Commission’s jurisdiction; and</w:t>
      </w:r>
    </w:p>
    <w:p w:rsidR="00731361" w:rsidRPr="00C84CE1" w:rsidRDefault="00731361" w:rsidP="0045212E">
      <w:pPr>
        <w:pStyle w:val="BodyText"/>
        <w:spacing w:line="480" w:lineRule="auto"/>
        <w:ind w:left="115" w:right="144"/>
        <w:jc w:val="both"/>
      </w:pPr>
      <w:r w:rsidRPr="00BA66C7">
        <w:rPr>
          <w:rFonts w:eastAsia="Calibri" w:cs="Times New Roman"/>
          <w:b/>
        </w:rPr>
        <w:t>WHEREAS</w:t>
      </w:r>
      <w:r w:rsidRPr="00BA66C7">
        <w:rPr>
          <w:rFonts w:eastAsia="Calibri" w:cs="Times New Roman"/>
        </w:rPr>
        <w:t xml:space="preserve">, </w:t>
      </w:r>
      <w:r w:rsidR="005A4120">
        <w:rPr>
          <w:rFonts w:eastAsia="Calibri" w:cs="Times New Roman"/>
        </w:rPr>
        <w:t xml:space="preserve">Chavis Bianco, </w:t>
      </w:r>
      <w:r w:rsidR="00736217" w:rsidRPr="00736217">
        <w:rPr>
          <w:rFonts w:eastAsia="Calibri" w:cs="Times New Roman"/>
        </w:rPr>
        <w:t xml:space="preserve">a member of </w:t>
      </w:r>
      <w:r w:rsidR="00736217">
        <w:rPr>
          <w:rFonts w:eastAsia="Calibri" w:cs="Times New Roman"/>
        </w:rPr>
        <w:t>the Commission’s S</w:t>
      </w:r>
      <w:r w:rsidR="00736217" w:rsidRPr="00736217">
        <w:rPr>
          <w:rFonts w:eastAsia="Calibri" w:cs="Times New Roman"/>
        </w:rPr>
        <w:t>taff</w:t>
      </w:r>
      <w:r w:rsidR="00736217">
        <w:rPr>
          <w:rFonts w:eastAsia="Calibri" w:cs="Times New Roman"/>
        </w:rPr>
        <w:t xml:space="preserve"> (“Staff”)</w:t>
      </w:r>
      <w:r w:rsidR="00736217" w:rsidRPr="00736217">
        <w:rPr>
          <w:rFonts w:eastAsia="Calibri" w:cs="Times New Roman"/>
        </w:rPr>
        <w:t xml:space="preserve">, </w:t>
      </w:r>
      <w:r w:rsidR="00C84CE1">
        <w:rPr>
          <w:spacing w:val="-1"/>
        </w:rPr>
        <w:t>performed</w:t>
      </w:r>
      <w:r w:rsidR="00C84CE1">
        <w:t xml:space="preserve"> a construction</w:t>
      </w:r>
      <w:r w:rsidR="00C84CE1">
        <w:rPr>
          <w:spacing w:val="29"/>
        </w:rPr>
        <w:t xml:space="preserve"> </w:t>
      </w:r>
      <w:r w:rsidR="00B516D3">
        <w:t>inspection on July 17</w:t>
      </w:r>
      <w:r w:rsidR="00C84CE1">
        <w:t xml:space="preserve">, 2019, of the </w:t>
      </w:r>
      <w:r w:rsidR="00C84CE1">
        <w:rPr>
          <w:spacing w:val="-1"/>
        </w:rPr>
        <w:t>facilities</w:t>
      </w:r>
      <w:r w:rsidR="00C84CE1">
        <w:t xml:space="preserve"> of </w:t>
      </w:r>
      <w:r w:rsidR="00B516D3">
        <w:rPr>
          <w:spacing w:val="-1"/>
        </w:rPr>
        <w:t>Peninsula</w:t>
      </w:r>
      <w:r w:rsidR="00C84CE1">
        <w:rPr>
          <w:spacing w:val="-1"/>
        </w:rPr>
        <w:t>,</w:t>
      </w:r>
      <w:r w:rsidR="00C84CE1">
        <w:t xml:space="preserve"> the</w:t>
      </w:r>
      <w:r w:rsidR="00C84CE1">
        <w:rPr>
          <w:spacing w:val="-1"/>
        </w:rPr>
        <w:t xml:space="preserve"> Operator, at </w:t>
      </w:r>
      <w:r w:rsidR="00B516D3">
        <w:rPr>
          <w:spacing w:val="-1"/>
        </w:rPr>
        <w:t>31276 Lakeview Blvd., Lewes De 19958 and 11428 Buckingham Drive, Delmar</w:t>
      </w:r>
      <w:r w:rsidR="00C84CE1">
        <w:rPr>
          <w:spacing w:val="-1"/>
        </w:rPr>
        <w:t>,</w:t>
      </w:r>
      <w:r w:rsidR="00B516D3">
        <w:rPr>
          <w:spacing w:val="-1"/>
        </w:rPr>
        <w:t xml:space="preserve"> DE 19940</w:t>
      </w:r>
      <w:r w:rsidR="007C0249">
        <w:rPr>
          <w:spacing w:val="40"/>
        </w:rPr>
        <w:t xml:space="preserve"> </w:t>
      </w:r>
      <w:r w:rsidR="00B47D79">
        <w:rPr>
          <w:rFonts w:eastAsia="Calibri" w:cs="Times New Roman"/>
        </w:rPr>
        <w:t xml:space="preserve">(the “Locations”) </w:t>
      </w:r>
      <w:r w:rsidR="00C84CE1">
        <w:t>and</w:t>
      </w:r>
      <w:r w:rsidRPr="00BA66C7">
        <w:rPr>
          <w:rFonts w:eastAsia="Calibri" w:cs="Times New Roman"/>
        </w:rPr>
        <w:t xml:space="preserve"> noted his findings in a written report </w:t>
      </w:r>
      <w:r w:rsidR="00C84CE1">
        <w:rPr>
          <w:rFonts w:eastAsia="Calibri" w:cs="Times New Roman"/>
        </w:rPr>
        <w:t xml:space="preserve">(the “Report”), </w:t>
      </w:r>
      <w:r w:rsidR="007C0249">
        <w:rPr>
          <w:rFonts w:eastAsia="Calibri" w:cs="Times New Roman"/>
        </w:rPr>
        <w:t xml:space="preserve">which noted that </w:t>
      </w:r>
      <w:r w:rsidR="007C0249">
        <w:rPr>
          <w:rFonts w:eastAsia="Calibri" w:cs="Times New Roman"/>
        </w:rPr>
        <w:lastRenderedPageBreak/>
        <w:t xml:space="preserve">Peninsula </w:t>
      </w:r>
      <w:r w:rsidR="007C0249" w:rsidRPr="00043D8C">
        <w:rPr>
          <w:rFonts w:eastAsia="Calibri" w:cs="Times New Roman"/>
        </w:rPr>
        <w:t xml:space="preserve">had failed to </w:t>
      </w:r>
      <w:r w:rsidR="007C0249">
        <w:rPr>
          <w:rFonts w:eastAsia="Calibri" w:cs="Times New Roman"/>
        </w:rPr>
        <w:t>perform certain inspections or have certain documentation available for inspection, as well as failed to comply with other general requirements of pipeline safety at the Locations</w:t>
      </w:r>
      <w:r w:rsidR="00C84CE1">
        <w:rPr>
          <w:spacing w:val="-1"/>
        </w:rPr>
        <w:t>; and</w:t>
      </w:r>
    </w:p>
    <w:p w:rsidR="00814BB4" w:rsidRPr="00043D8C" w:rsidRDefault="00814BB4" w:rsidP="00814BB4">
      <w:pPr>
        <w:spacing w:line="480" w:lineRule="auto"/>
        <w:ind w:firstLine="720"/>
        <w:rPr>
          <w:rFonts w:eastAsia="Calibri" w:cs="Times New Roman"/>
          <w:szCs w:val="24"/>
        </w:rPr>
      </w:pPr>
      <w:r w:rsidRPr="00043D8C">
        <w:rPr>
          <w:rFonts w:eastAsia="Calibri" w:cs="Times New Roman"/>
          <w:b/>
          <w:szCs w:val="24"/>
        </w:rPr>
        <w:t>WHEREAS</w:t>
      </w:r>
      <w:r w:rsidRPr="00043D8C">
        <w:rPr>
          <w:rFonts w:eastAsia="Calibri" w:cs="Times New Roman"/>
          <w:szCs w:val="24"/>
        </w:rPr>
        <w:t xml:space="preserve">, </w:t>
      </w:r>
      <w:r>
        <w:rPr>
          <w:rFonts w:eastAsia="Calibri" w:cs="Times New Roman"/>
          <w:szCs w:val="24"/>
        </w:rPr>
        <w:t>Peninsula’s</w:t>
      </w:r>
      <w:r w:rsidRPr="00043D8C">
        <w:rPr>
          <w:rFonts w:eastAsia="Calibri" w:cs="Times New Roman"/>
          <w:szCs w:val="24"/>
        </w:rPr>
        <w:t xml:space="preserve"> failure to inspect and test the pressure limiting and regulating stations </w:t>
      </w:r>
      <w:r>
        <w:rPr>
          <w:rFonts w:eastAsia="Calibri" w:cs="Times New Roman"/>
          <w:szCs w:val="24"/>
        </w:rPr>
        <w:t xml:space="preserve">within 15 months </w:t>
      </w:r>
      <w:r w:rsidRPr="00043D8C">
        <w:rPr>
          <w:rFonts w:eastAsia="Calibri" w:cs="Times New Roman"/>
          <w:szCs w:val="24"/>
        </w:rPr>
        <w:t>also represents two potential violations of 49 C.F.R. §</w:t>
      </w:r>
      <w:r>
        <w:rPr>
          <w:rFonts w:eastAsia="Calibri" w:cs="Times New Roman"/>
          <w:szCs w:val="24"/>
        </w:rPr>
        <w:t xml:space="preserve"> </w:t>
      </w:r>
      <w:r w:rsidRPr="00043D8C">
        <w:rPr>
          <w:rFonts w:eastAsia="Calibri" w:cs="Times New Roman"/>
          <w:szCs w:val="24"/>
        </w:rPr>
        <w:t>192.739(a);</w:t>
      </w:r>
      <w:r w:rsidRPr="00043D8C">
        <w:rPr>
          <w:rStyle w:val="FootnoteReference"/>
          <w:rFonts w:cs="Times New Roman"/>
          <w:szCs w:val="24"/>
        </w:rPr>
        <w:footnoteReference w:id="1"/>
      </w:r>
      <w:r w:rsidRPr="00043D8C">
        <w:rPr>
          <w:rFonts w:eastAsia="Calibri" w:cs="Times New Roman"/>
          <w:szCs w:val="24"/>
        </w:rPr>
        <w:t xml:space="preserve"> and</w:t>
      </w:r>
    </w:p>
    <w:p w:rsidR="00814BB4" w:rsidRDefault="00814BB4" w:rsidP="00814BB4">
      <w:pPr>
        <w:spacing w:line="480" w:lineRule="auto"/>
        <w:rPr>
          <w:rFonts w:eastAsia="Calibri" w:cs="Times New Roman"/>
          <w:szCs w:val="24"/>
        </w:rPr>
      </w:pPr>
      <w:r w:rsidRPr="00043D8C">
        <w:rPr>
          <w:rFonts w:eastAsia="Calibri" w:cs="Times New Roman"/>
          <w:szCs w:val="24"/>
        </w:rPr>
        <w:tab/>
      </w:r>
      <w:r w:rsidRPr="00043D8C">
        <w:rPr>
          <w:rFonts w:eastAsia="Calibri" w:cs="Times New Roman"/>
          <w:b/>
          <w:szCs w:val="24"/>
        </w:rPr>
        <w:t>WHEREAS</w:t>
      </w:r>
      <w:r w:rsidRPr="00043D8C">
        <w:rPr>
          <w:rFonts w:eastAsia="Calibri" w:cs="Times New Roman"/>
          <w:szCs w:val="24"/>
        </w:rPr>
        <w:t xml:space="preserve">, </w:t>
      </w:r>
      <w:r>
        <w:rPr>
          <w:rFonts w:eastAsia="Calibri" w:cs="Times New Roman"/>
          <w:szCs w:val="24"/>
        </w:rPr>
        <w:t>Peninsula’s</w:t>
      </w:r>
      <w:r w:rsidRPr="00043D8C">
        <w:rPr>
          <w:rFonts w:eastAsia="Calibri" w:cs="Times New Roman"/>
          <w:szCs w:val="24"/>
        </w:rPr>
        <w:t xml:space="preserve"> failure to perform the above-mentioned tasks also represents one potential violation of 49 C.F.R. §</w:t>
      </w:r>
      <w:r>
        <w:rPr>
          <w:rFonts w:eastAsia="Calibri" w:cs="Times New Roman"/>
          <w:szCs w:val="24"/>
        </w:rPr>
        <w:t xml:space="preserve"> </w:t>
      </w:r>
      <w:r w:rsidRPr="00043D8C">
        <w:rPr>
          <w:rFonts w:eastAsia="Calibri" w:cs="Times New Roman"/>
          <w:szCs w:val="24"/>
        </w:rPr>
        <w:t>192.605(a);</w:t>
      </w:r>
      <w:r w:rsidRPr="00043D8C">
        <w:rPr>
          <w:rFonts w:eastAsia="Calibri" w:cs="Times New Roman"/>
          <w:szCs w:val="24"/>
          <w:vertAlign w:val="superscript"/>
        </w:rPr>
        <w:footnoteReference w:id="2"/>
      </w:r>
      <w:r w:rsidRPr="00043D8C">
        <w:rPr>
          <w:rFonts w:eastAsia="Calibri" w:cs="Times New Roman"/>
          <w:szCs w:val="24"/>
        </w:rPr>
        <w:t xml:space="preserve"> and </w:t>
      </w:r>
    </w:p>
    <w:p w:rsidR="00814BB4" w:rsidRDefault="00814BB4" w:rsidP="00814BB4">
      <w:pPr>
        <w:spacing w:line="480" w:lineRule="auto"/>
        <w:rPr>
          <w:rFonts w:eastAsia="Calibri" w:cs="Times New Roman"/>
          <w:szCs w:val="24"/>
        </w:rPr>
      </w:pPr>
      <w:r>
        <w:rPr>
          <w:rFonts w:eastAsia="Calibri" w:cs="Times New Roman"/>
          <w:szCs w:val="24"/>
        </w:rPr>
        <w:tab/>
      </w:r>
      <w:r>
        <w:rPr>
          <w:rFonts w:eastAsia="Calibri" w:cs="Times New Roman"/>
          <w:b/>
          <w:szCs w:val="24"/>
        </w:rPr>
        <w:t>WHEREAS</w:t>
      </w:r>
      <w:r>
        <w:rPr>
          <w:rFonts w:eastAsia="Calibri" w:cs="Times New Roman"/>
          <w:szCs w:val="24"/>
        </w:rPr>
        <w:t>, Peninsula’s failure to identify an excess flow valve (“EEV”) represents one potential violation of 49 C.F.R § 192.381(c);</w:t>
      </w:r>
      <w:r w:rsidR="00D048DC" w:rsidRPr="00D048DC">
        <w:rPr>
          <w:rStyle w:val="FootnoteReference"/>
          <w:rFonts w:eastAsia="Calibri" w:cs="Times New Roman"/>
          <w:szCs w:val="24"/>
        </w:rPr>
        <w:t xml:space="preserve"> </w:t>
      </w:r>
      <w:r w:rsidR="00D048DC">
        <w:rPr>
          <w:rStyle w:val="FootnoteReference"/>
          <w:rFonts w:eastAsia="Calibri" w:cs="Times New Roman"/>
          <w:szCs w:val="24"/>
        </w:rPr>
        <w:footnoteReference w:id="3"/>
      </w:r>
      <w:r>
        <w:rPr>
          <w:rFonts w:eastAsia="Calibri" w:cs="Times New Roman"/>
          <w:szCs w:val="24"/>
        </w:rPr>
        <w:t xml:space="preserve"> and</w:t>
      </w:r>
    </w:p>
    <w:p w:rsidR="00814BB4" w:rsidRDefault="00814BB4" w:rsidP="00814BB4">
      <w:pPr>
        <w:spacing w:line="480" w:lineRule="auto"/>
        <w:rPr>
          <w:rFonts w:eastAsia="Calibri" w:cs="Times New Roman"/>
          <w:szCs w:val="24"/>
        </w:rPr>
      </w:pPr>
      <w:r>
        <w:rPr>
          <w:rFonts w:eastAsia="Calibri" w:cs="Times New Roman"/>
          <w:szCs w:val="24"/>
        </w:rPr>
        <w:tab/>
      </w:r>
      <w:r w:rsidRPr="00D2621A">
        <w:rPr>
          <w:rFonts w:eastAsia="Calibri" w:cs="Times New Roman"/>
          <w:b/>
          <w:szCs w:val="24"/>
        </w:rPr>
        <w:t>WHEREAS</w:t>
      </w:r>
      <w:r>
        <w:rPr>
          <w:rFonts w:eastAsia="Calibri" w:cs="Times New Roman"/>
          <w:szCs w:val="24"/>
        </w:rPr>
        <w:t xml:space="preserve">, Peninsula’s failure to locate the point of discharge not less than 5ft (1.5 m) in any direction away from any source of ignition, openings into direct-vent (sealed combustion system) appliances, or mechanical ventilation air intakes represents a violation of </w:t>
      </w:r>
      <w:r w:rsidRPr="004712A2">
        <w:rPr>
          <w:rFonts w:eastAsia="Calibri" w:cs="Times New Roman"/>
          <w:szCs w:val="24"/>
        </w:rPr>
        <w:t>NFPA 58</w:t>
      </w:r>
      <w:r>
        <w:rPr>
          <w:rFonts w:eastAsia="Calibri" w:cs="Times New Roman"/>
          <w:szCs w:val="24"/>
        </w:rPr>
        <w:t xml:space="preserve"> (2004), Section 6.7.4.6: Regulator Installation (</w:t>
      </w:r>
      <w:r w:rsidRPr="00CF4036">
        <w:rPr>
          <w:rFonts w:eastAsia="Calibri" w:cs="Times New Roman"/>
          <w:b/>
          <w:szCs w:val="24"/>
        </w:rPr>
        <w:t>Both locations</w:t>
      </w:r>
      <w:r>
        <w:rPr>
          <w:rFonts w:eastAsia="Calibri" w:cs="Times New Roman"/>
          <w:szCs w:val="24"/>
        </w:rPr>
        <w:t>);</w:t>
      </w:r>
      <w:r>
        <w:rPr>
          <w:rStyle w:val="FootnoteReference"/>
          <w:rFonts w:eastAsia="Calibri" w:cs="Times New Roman"/>
          <w:szCs w:val="24"/>
        </w:rPr>
        <w:footnoteReference w:id="4"/>
      </w:r>
      <w:r>
        <w:rPr>
          <w:rFonts w:eastAsia="Calibri" w:cs="Times New Roman"/>
          <w:szCs w:val="24"/>
        </w:rPr>
        <w:t xml:space="preserve"> and</w:t>
      </w:r>
    </w:p>
    <w:p w:rsidR="002E39EA" w:rsidRDefault="00814BB4" w:rsidP="00814BB4">
      <w:pPr>
        <w:pStyle w:val="BodyText"/>
        <w:spacing w:line="480" w:lineRule="auto"/>
        <w:ind w:right="144"/>
        <w:jc w:val="both"/>
      </w:pPr>
      <w:r>
        <w:rPr>
          <w:rFonts w:eastAsia="Calibri" w:cs="Times New Roman"/>
        </w:rPr>
        <w:tab/>
      </w:r>
      <w:r w:rsidRPr="00D2621A">
        <w:rPr>
          <w:rFonts w:eastAsia="Calibri" w:cs="Times New Roman"/>
          <w:b/>
        </w:rPr>
        <w:t>WHEREAS</w:t>
      </w:r>
      <w:r>
        <w:rPr>
          <w:rFonts w:eastAsia="Calibri" w:cs="Times New Roman"/>
        </w:rPr>
        <w:t xml:space="preserve">, Peninsula’s failure to properly install on adjacent piping or on a </w:t>
      </w:r>
      <w:r>
        <w:rPr>
          <w:rFonts w:eastAsia="Calibri" w:cs="Times New Roman"/>
        </w:rPr>
        <w:lastRenderedPageBreak/>
        <w:t xml:space="preserve">structure clearly visible nameplate information of a buried container in violation </w:t>
      </w:r>
      <w:r w:rsidRPr="004712A2">
        <w:rPr>
          <w:rFonts w:eastAsia="Calibri" w:cs="Times New Roman"/>
        </w:rPr>
        <w:t>of NFPA 58</w:t>
      </w:r>
      <w:r>
        <w:rPr>
          <w:rFonts w:eastAsia="Calibri" w:cs="Times New Roman"/>
        </w:rPr>
        <w:t xml:space="preserve"> (2004), Section 5.2.8.3 (b) &amp; (c) - Container Markings (</w:t>
      </w:r>
      <w:r w:rsidRPr="00CF4036">
        <w:rPr>
          <w:rFonts w:eastAsia="Calibri" w:cs="Times New Roman"/>
          <w:b/>
        </w:rPr>
        <w:t>Both Locations</w:t>
      </w:r>
      <w:r>
        <w:rPr>
          <w:rFonts w:eastAsia="Calibri" w:cs="Times New Roman"/>
        </w:rPr>
        <w:t>);</w:t>
      </w:r>
      <w:r>
        <w:rPr>
          <w:rStyle w:val="FootnoteReference"/>
          <w:rFonts w:eastAsia="Calibri" w:cs="Times New Roman"/>
        </w:rPr>
        <w:footnoteReference w:id="5"/>
      </w:r>
      <w:r>
        <w:rPr>
          <w:rFonts w:eastAsia="Calibri" w:cs="Times New Roman"/>
        </w:rPr>
        <w:t xml:space="preserve"> </w:t>
      </w:r>
      <w:r w:rsidR="002E39EA">
        <w:rPr>
          <w:spacing w:val="-1"/>
        </w:rPr>
        <w:t>C.F.R 192.329;</w:t>
      </w:r>
      <w:r w:rsidR="002E39EA">
        <w:rPr>
          <w:rStyle w:val="FootnoteReference"/>
          <w:spacing w:val="-1"/>
        </w:rPr>
        <w:footnoteReference w:id="6"/>
      </w:r>
      <w:r w:rsidR="002E39EA">
        <w:rPr>
          <w:spacing w:val="29"/>
          <w:w w:val="99"/>
          <w:position w:val="9"/>
          <w:sz w:val="16"/>
        </w:rPr>
        <w:t xml:space="preserve"> </w:t>
      </w:r>
      <w:r w:rsidR="002E39EA">
        <w:t>and</w:t>
      </w:r>
    </w:p>
    <w:p w:rsidR="007B7C22" w:rsidRPr="007B7C22" w:rsidRDefault="007B7C22" w:rsidP="0045212E">
      <w:pPr>
        <w:pStyle w:val="BodyText"/>
        <w:spacing w:before="69" w:line="480" w:lineRule="auto"/>
        <w:ind w:right="160"/>
        <w:jc w:val="both"/>
      </w:pPr>
      <w:r>
        <w:rPr>
          <w:rFonts w:cs="Times New Roman"/>
          <w:b/>
          <w:bCs/>
          <w:spacing w:val="-1"/>
        </w:rPr>
        <w:t>WHEREAS</w:t>
      </w:r>
      <w:r>
        <w:rPr>
          <w:spacing w:val="-1"/>
        </w:rPr>
        <w:t>,</w:t>
      </w:r>
      <w:r>
        <w:t xml:space="preserve"> based on Mr. Bianco’s </w:t>
      </w:r>
      <w:r w:rsidR="00814BB4">
        <w:t>writt</w:t>
      </w:r>
      <w:r w:rsidR="009F779D">
        <w:t>en report and findings</w:t>
      </w:r>
      <w:r>
        <w:rPr>
          <w:spacing w:val="-1"/>
        </w:rPr>
        <w:t>, Mr.</w:t>
      </w:r>
      <w:r>
        <w:rPr>
          <w:spacing w:val="28"/>
        </w:rPr>
        <w:t xml:space="preserve"> </w:t>
      </w:r>
      <w:r>
        <w:t xml:space="preserve">Wayne B. Ericksen, a </w:t>
      </w:r>
      <w:r>
        <w:rPr>
          <w:spacing w:val="-1"/>
        </w:rPr>
        <w:t>member</w:t>
      </w:r>
      <w:r>
        <w:t xml:space="preserve"> of </w:t>
      </w:r>
      <w:r>
        <w:rPr>
          <w:spacing w:val="-1"/>
        </w:rPr>
        <w:t>Staff</w:t>
      </w:r>
      <w:r>
        <w:t xml:space="preserve"> and the Program</w:t>
      </w:r>
      <w:r>
        <w:rPr>
          <w:spacing w:val="-2"/>
        </w:rPr>
        <w:t xml:space="preserve"> </w:t>
      </w:r>
      <w:r>
        <w:t>Manager of</w:t>
      </w:r>
      <w:r>
        <w:rPr>
          <w:spacing w:val="-1"/>
        </w:rPr>
        <w:t xml:space="preserve"> </w:t>
      </w:r>
      <w:r>
        <w:t>the Pipeline Safety Program</w:t>
      </w:r>
      <w:r>
        <w:rPr>
          <w:spacing w:val="27"/>
        </w:rPr>
        <w:t xml:space="preserve"> </w:t>
      </w:r>
      <w:r>
        <w:t>for the State of Delaware, sent</w:t>
      </w:r>
      <w:r>
        <w:rPr>
          <w:spacing w:val="-1"/>
        </w:rPr>
        <w:t xml:space="preserve"> </w:t>
      </w:r>
      <w:r>
        <w:t xml:space="preserve">a </w:t>
      </w:r>
      <w:r>
        <w:rPr>
          <w:spacing w:val="-1"/>
        </w:rPr>
        <w:t>written</w:t>
      </w:r>
      <w:r>
        <w:t xml:space="preserve"> </w:t>
      </w:r>
      <w:r>
        <w:rPr>
          <w:spacing w:val="-1"/>
        </w:rPr>
        <w:t>letter</w:t>
      </w:r>
      <w:r>
        <w:t xml:space="preserve"> of the Notice</w:t>
      </w:r>
      <w:r>
        <w:rPr>
          <w:spacing w:val="-1"/>
        </w:rPr>
        <w:t xml:space="preserve"> </w:t>
      </w:r>
      <w:r>
        <w:t xml:space="preserve">of Potential </w:t>
      </w:r>
      <w:r>
        <w:rPr>
          <w:spacing w:val="-1"/>
        </w:rPr>
        <w:t>Violations</w:t>
      </w:r>
      <w:r>
        <w:t xml:space="preserve"> (“NOPV”) to</w:t>
      </w:r>
      <w:r>
        <w:rPr>
          <w:spacing w:val="37"/>
        </w:rPr>
        <w:t xml:space="preserve"> </w:t>
      </w:r>
      <w:r>
        <w:t xml:space="preserve">Mr. </w:t>
      </w:r>
      <w:r w:rsidR="009F779D">
        <w:t>John Willey, II President of Peninsula</w:t>
      </w:r>
      <w:r>
        <w:t xml:space="preserve"> Jr., </w:t>
      </w:r>
      <w:r>
        <w:rPr>
          <w:spacing w:val="-1"/>
        </w:rPr>
        <w:t>Director</w:t>
      </w:r>
      <w:r>
        <w:t xml:space="preserve"> of Gas Operations </w:t>
      </w:r>
      <w:r>
        <w:rPr>
          <w:spacing w:val="-1"/>
        </w:rPr>
        <w:t>and</w:t>
      </w:r>
      <w:r>
        <w:t xml:space="preserve"> </w:t>
      </w:r>
      <w:r>
        <w:rPr>
          <w:spacing w:val="-1"/>
        </w:rPr>
        <w:t xml:space="preserve">Engineering for </w:t>
      </w:r>
      <w:r w:rsidR="00CC548F" w:rsidRPr="00364EF7">
        <w:rPr>
          <w:spacing w:val="-1"/>
        </w:rPr>
        <w:t>Peninsula</w:t>
      </w:r>
      <w:r w:rsidR="002843D2">
        <w:rPr>
          <w:spacing w:val="-1"/>
        </w:rPr>
        <w:t>;</w:t>
      </w:r>
      <w:r w:rsidR="002843D2">
        <w:rPr>
          <w:rStyle w:val="FootnoteReference"/>
          <w:spacing w:val="-1"/>
        </w:rPr>
        <w:footnoteReference w:id="7"/>
      </w:r>
      <w:r w:rsidR="00DD0625">
        <w:t xml:space="preserve"> and</w:t>
      </w:r>
    </w:p>
    <w:p w:rsidR="007B7C22" w:rsidRPr="009F779D" w:rsidRDefault="009F779D" w:rsidP="009F779D">
      <w:pPr>
        <w:pStyle w:val="BodyText"/>
        <w:spacing w:before="69" w:line="480" w:lineRule="auto"/>
        <w:ind w:right="160"/>
        <w:jc w:val="both"/>
      </w:pPr>
      <w:r w:rsidRPr="00043D8C">
        <w:rPr>
          <w:rFonts w:cs="Times New Roman"/>
          <w:b/>
          <w:bCs/>
        </w:rPr>
        <w:t>WHEREAS</w:t>
      </w:r>
      <w:r w:rsidRPr="00043D8C">
        <w:rPr>
          <w:rFonts w:cs="Times New Roman"/>
          <w:bCs/>
        </w:rPr>
        <w:t xml:space="preserve">, the NOPV indicated that the Commission is authorized by the Federal Pipeline Safety Regulations, 49 C.F.R., Parts 190-193 and 198-199 (the “Regulations”), to order </w:t>
      </w:r>
      <w:r w:rsidRPr="009F779D">
        <w:rPr>
          <w:rFonts w:cs="Times New Roman"/>
          <w:bCs/>
        </w:rPr>
        <w:t>remedial actions and to impose civil penalties. The NOPV further indicated because Peninsula Oil had not recently performed all of the monitoring and testing required, nor had it provided documentation to show that these tasks had been completed in 2019</w:t>
      </w:r>
      <w:r>
        <w:rPr>
          <w:rFonts w:cs="Times New Roman"/>
          <w:bCs/>
        </w:rPr>
        <w:t xml:space="preserve">; </w:t>
      </w:r>
      <w:r w:rsidR="007B7C22">
        <w:t>and</w:t>
      </w:r>
    </w:p>
    <w:p w:rsidR="007B7C22" w:rsidRPr="007B7C22" w:rsidRDefault="009F779D" w:rsidP="0045212E">
      <w:pPr>
        <w:pStyle w:val="BodyText"/>
        <w:spacing w:line="480" w:lineRule="auto"/>
        <w:ind w:left="119" w:right="61"/>
        <w:jc w:val="both"/>
      </w:pPr>
      <w:r w:rsidRPr="00043D8C">
        <w:rPr>
          <w:rFonts w:cs="Times New Roman"/>
          <w:b/>
          <w:bCs/>
        </w:rPr>
        <w:t>WHEREAS</w:t>
      </w:r>
      <w:r w:rsidRPr="00043D8C">
        <w:rPr>
          <w:rFonts w:cs="Times New Roman"/>
          <w:bCs/>
        </w:rPr>
        <w:t>, Staff recommended in the NOPV that the Commission impose a</w:t>
      </w:r>
      <w:r>
        <w:rPr>
          <w:rFonts w:cs="Times New Roman"/>
          <w:bCs/>
        </w:rPr>
        <w:t>n increased</w:t>
      </w:r>
      <w:r w:rsidRPr="00043D8C">
        <w:rPr>
          <w:rFonts w:cs="Times New Roman"/>
          <w:bCs/>
        </w:rPr>
        <w:t xml:space="preserve"> civil penalty of $</w:t>
      </w:r>
      <w:r>
        <w:rPr>
          <w:rFonts w:cs="Times New Roman"/>
          <w:bCs/>
        </w:rPr>
        <w:t>6000.00</w:t>
      </w:r>
      <w:r w:rsidRPr="00043D8C">
        <w:rPr>
          <w:rFonts w:cs="Times New Roman"/>
          <w:bCs/>
        </w:rPr>
        <w:t xml:space="preserve"> for two potential violations of </w:t>
      </w:r>
      <w:r w:rsidRPr="00D10AF4">
        <w:rPr>
          <w:rFonts w:cs="Times New Roman"/>
          <w:b/>
          <w:bCs/>
        </w:rPr>
        <w:t xml:space="preserve">49 C.F.R. § </w:t>
      </w:r>
      <w:r>
        <w:rPr>
          <w:rFonts w:cs="Times New Roman"/>
          <w:b/>
          <w:bCs/>
        </w:rPr>
        <w:t>192.739</w:t>
      </w:r>
      <w:r w:rsidRPr="00D10AF4">
        <w:rPr>
          <w:rFonts w:cs="Times New Roman"/>
          <w:b/>
          <w:bCs/>
        </w:rPr>
        <w:t>(a)</w:t>
      </w:r>
      <w:r>
        <w:rPr>
          <w:rFonts w:cs="Times New Roman"/>
          <w:bCs/>
        </w:rPr>
        <w:t xml:space="preserve"> due to earlier NOPV fines in 2015 and 2017</w:t>
      </w:r>
      <w:r w:rsidRPr="00043D8C">
        <w:rPr>
          <w:rFonts w:cs="Times New Roman"/>
          <w:bCs/>
        </w:rPr>
        <w:t>, a</w:t>
      </w:r>
      <w:r>
        <w:rPr>
          <w:rFonts w:cs="Times New Roman"/>
          <w:bCs/>
        </w:rPr>
        <w:t>n increased civil penalty of $2000</w:t>
      </w:r>
      <w:r w:rsidRPr="00043D8C">
        <w:rPr>
          <w:rFonts w:cs="Times New Roman"/>
          <w:bCs/>
        </w:rPr>
        <w:t xml:space="preserve">.00 for </w:t>
      </w:r>
      <w:r>
        <w:rPr>
          <w:rFonts w:cs="Times New Roman"/>
          <w:bCs/>
        </w:rPr>
        <w:t>potential violation</w:t>
      </w:r>
      <w:r w:rsidRPr="00043D8C">
        <w:rPr>
          <w:rFonts w:cs="Times New Roman"/>
          <w:bCs/>
        </w:rPr>
        <w:t xml:space="preserve"> of </w:t>
      </w:r>
      <w:r w:rsidRPr="00D10AF4">
        <w:rPr>
          <w:rFonts w:cs="Times New Roman"/>
          <w:b/>
          <w:bCs/>
        </w:rPr>
        <w:t>49 C.F.R.§ 192.605(a)</w:t>
      </w:r>
      <w:r>
        <w:rPr>
          <w:rFonts w:cs="Times New Roman"/>
          <w:bCs/>
        </w:rPr>
        <w:t xml:space="preserve"> due to an earlier NOPV fine in 2017</w:t>
      </w:r>
      <w:r w:rsidRPr="00043D8C">
        <w:rPr>
          <w:rFonts w:cs="Times New Roman"/>
          <w:bCs/>
        </w:rPr>
        <w:t xml:space="preserve">, </w:t>
      </w:r>
      <w:r w:rsidR="00704F55" w:rsidRPr="00043D8C">
        <w:rPr>
          <w:rFonts w:cs="Times New Roman"/>
          <w:bCs/>
        </w:rPr>
        <w:t>an</w:t>
      </w:r>
      <w:r w:rsidRPr="00043D8C">
        <w:rPr>
          <w:rFonts w:cs="Times New Roman"/>
          <w:bCs/>
        </w:rPr>
        <w:t xml:space="preserve"> </w:t>
      </w:r>
      <w:r>
        <w:rPr>
          <w:rFonts w:cs="Times New Roman"/>
          <w:bCs/>
        </w:rPr>
        <w:t xml:space="preserve">increased </w:t>
      </w:r>
      <w:r w:rsidRPr="00043D8C">
        <w:rPr>
          <w:rFonts w:cs="Times New Roman"/>
          <w:bCs/>
        </w:rPr>
        <w:t xml:space="preserve">civil penalty of </w:t>
      </w:r>
      <w:r>
        <w:rPr>
          <w:rFonts w:cs="Times New Roman"/>
          <w:bCs/>
        </w:rPr>
        <w:t>$2,000.00 for</w:t>
      </w:r>
      <w:r w:rsidRPr="00043D8C">
        <w:rPr>
          <w:rFonts w:cs="Times New Roman"/>
          <w:bCs/>
        </w:rPr>
        <w:t xml:space="preserve"> potential violations of </w:t>
      </w:r>
      <w:r w:rsidRPr="00D10AF4">
        <w:rPr>
          <w:rFonts w:cs="Times New Roman"/>
          <w:b/>
          <w:bCs/>
        </w:rPr>
        <w:t>49 C.F.R. § 192.381(c)</w:t>
      </w:r>
      <w:r w:rsidRPr="00D10AF4">
        <w:rPr>
          <w:rFonts w:cs="Times New Roman"/>
          <w:bCs/>
        </w:rPr>
        <w:t xml:space="preserve"> </w:t>
      </w:r>
      <w:r>
        <w:rPr>
          <w:rFonts w:cs="Times New Roman"/>
          <w:bCs/>
        </w:rPr>
        <w:t>due to an earlier NOPV fine in 2017,</w:t>
      </w:r>
      <w:r w:rsidRPr="00043D8C">
        <w:rPr>
          <w:rFonts w:cs="Times New Roman"/>
          <w:bCs/>
        </w:rPr>
        <w:t xml:space="preserve"> and a civil penalty of $</w:t>
      </w:r>
      <w:r>
        <w:rPr>
          <w:rFonts w:cs="Times New Roman"/>
          <w:bCs/>
        </w:rPr>
        <w:t>1,000</w:t>
      </w:r>
      <w:r w:rsidRPr="00043D8C">
        <w:rPr>
          <w:rFonts w:cs="Times New Roman"/>
          <w:bCs/>
        </w:rPr>
        <w:t xml:space="preserve"> for one potential violation of </w:t>
      </w:r>
      <w:r w:rsidRPr="00D10AF4">
        <w:rPr>
          <w:rFonts w:cs="Times New Roman"/>
          <w:b/>
          <w:bCs/>
        </w:rPr>
        <w:t>NFPA 58 (2004) Section 6.7.4.6</w:t>
      </w:r>
      <w:r>
        <w:rPr>
          <w:rFonts w:cs="Times New Roman"/>
          <w:bCs/>
        </w:rPr>
        <w:t xml:space="preserve"> </w:t>
      </w:r>
      <w:r>
        <w:rPr>
          <w:rFonts w:cs="Times New Roman"/>
          <w:bCs/>
        </w:rPr>
        <w:lastRenderedPageBreak/>
        <w:t xml:space="preserve">at two locations which sub-totals $2,000, and </w:t>
      </w:r>
      <w:r w:rsidRPr="00043D8C">
        <w:rPr>
          <w:rFonts w:cs="Times New Roman"/>
          <w:bCs/>
        </w:rPr>
        <w:t>a civil penalty of $</w:t>
      </w:r>
      <w:r>
        <w:rPr>
          <w:rFonts w:cs="Times New Roman"/>
          <w:bCs/>
        </w:rPr>
        <w:t>1,000</w:t>
      </w:r>
      <w:r w:rsidRPr="00043D8C">
        <w:rPr>
          <w:rFonts w:cs="Times New Roman"/>
          <w:bCs/>
        </w:rPr>
        <w:t xml:space="preserve"> for one potential violation of </w:t>
      </w:r>
      <w:r w:rsidRPr="00D10AF4">
        <w:rPr>
          <w:rFonts w:cs="Times New Roman"/>
          <w:b/>
          <w:bCs/>
        </w:rPr>
        <w:t>NFPA 58 (2004) Section 5.2.8.3 (b) &amp; (c)</w:t>
      </w:r>
      <w:r>
        <w:rPr>
          <w:rFonts w:cs="Times New Roman"/>
          <w:bCs/>
        </w:rPr>
        <w:t xml:space="preserve"> at two locations which sub-totals $2,000. </w:t>
      </w:r>
      <w:r w:rsidRPr="00043D8C">
        <w:rPr>
          <w:rFonts w:cs="Times New Roman"/>
          <w:bCs/>
        </w:rPr>
        <w:t xml:space="preserve">Thus, the total amount of recommended civil penalties made by Staff was </w:t>
      </w:r>
      <w:r>
        <w:rPr>
          <w:rFonts w:cs="Times New Roman"/>
          <w:bCs/>
        </w:rPr>
        <w:t>$14,000.00</w:t>
      </w:r>
      <w:r w:rsidR="007B7C22">
        <w:t xml:space="preserve">; and </w:t>
      </w:r>
    </w:p>
    <w:p w:rsidR="00DD0625" w:rsidRPr="00BA66C7" w:rsidRDefault="00DD0625" w:rsidP="00CA47C3">
      <w:pPr>
        <w:spacing w:line="480" w:lineRule="auto"/>
        <w:ind w:firstLine="720"/>
        <w:jc w:val="both"/>
        <w:rPr>
          <w:rFonts w:eastAsia="Calibri" w:cs="Times New Roman"/>
          <w:szCs w:val="24"/>
        </w:rPr>
      </w:pPr>
      <w:r w:rsidRPr="00BA66C7">
        <w:rPr>
          <w:rFonts w:eastAsia="Calibri" w:cs="Times New Roman"/>
          <w:b/>
          <w:bCs/>
          <w:szCs w:val="24"/>
        </w:rPr>
        <w:t>WHEREAS</w:t>
      </w:r>
      <w:r w:rsidRPr="00BA66C7">
        <w:rPr>
          <w:rFonts w:eastAsia="Calibri" w:cs="Times New Roman"/>
          <w:bCs/>
          <w:szCs w:val="24"/>
        </w:rPr>
        <w:t xml:space="preserve">, </w:t>
      </w:r>
      <w:r w:rsidR="009F779D">
        <w:rPr>
          <w:rFonts w:eastAsia="Calibri" w:cs="Times New Roman"/>
          <w:bCs/>
          <w:szCs w:val="24"/>
        </w:rPr>
        <w:t>Peninsula</w:t>
      </w:r>
      <w:r w:rsidRPr="00BA66C7">
        <w:rPr>
          <w:rFonts w:eastAsia="Calibri" w:cs="Times New Roman"/>
          <w:bCs/>
          <w:szCs w:val="24"/>
        </w:rPr>
        <w:t xml:space="preserve"> and Staff </w:t>
      </w:r>
      <w:r w:rsidR="002843D2">
        <w:rPr>
          <w:rFonts w:eastAsia="Calibri" w:cs="Times New Roman"/>
          <w:bCs/>
          <w:szCs w:val="24"/>
        </w:rPr>
        <w:t xml:space="preserve">have </w:t>
      </w:r>
      <w:r w:rsidRPr="00BA66C7">
        <w:rPr>
          <w:rFonts w:eastAsia="Calibri" w:cs="Times New Roman"/>
          <w:szCs w:val="24"/>
        </w:rPr>
        <w:t>entered into settlement negotiations and agreed to resolve th</w:t>
      </w:r>
      <w:r w:rsidR="007B7C0D">
        <w:rPr>
          <w:rFonts w:eastAsia="Calibri" w:cs="Times New Roman"/>
          <w:szCs w:val="24"/>
        </w:rPr>
        <w:t>e potential violations and the civil p</w:t>
      </w:r>
      <w:r w:rsidRPr="00BA66C7">
        <w:rPr>
          <w:rFonts w:eastAsia="Calibri" w:cs="Times New Roman"/>
          <w:szCs w:val="24"/>
        </w:rPr>
        <w:t>enalties by entering into a consent agreement (the “Proposed Consent Agreement”)</w:t>
      </w:r>
      <w:r w:rsidR="007B7C0D">
        <w:rPr>
          <w:rFonts w:eastAsia="Calibri" w:cs="Times New Roman"/>
          <w:szCs w:val="24"/>
        </w:rPr>
        <w:t>,</w:t>
      </w:r>
      <w:r w:rsidRPr="00BA66C7">
        <w:rPr>
          <w:rFonts w:eastAsia="Calibri" w:cs="Times New Roman"/>
          <w:szCs w:val="24"/>
        </w:rPr>
        <w:t xml:space="preserve"> which is attached as </w:t>
      </w:r>
      <w:r w:rsidRPr="00BA66C7">
        <w:rPr>
          <w:rFonts w:eastAsia="Calibri" w:cs="Times New Roman"/>
          <w:b/>
          <w:szCs w:val="24"/>
          <w:u w:val="single"/>
        </w:rPr>
        <w:t>Attachment “A”</w:t>
      </w:r>
      <w:r w:rsidR="002843D2">
        <w:rPr>
          <w:rFonts w:eastAsia="Calibri" w:cs="Times New Roman"/>
          <w:szCs w:val="24"/>
        </w:rPr>
        <w:t>;</w:t>
      </w:r>
      <w:r w:rsidR="002843D2">
        <w:rPr>
          <w:rStyle w:val="FootnoteReference"/>
          <w:rFonts w:eastAsia="Calibri" w:cs="Times New Roman"/>
          <w:szCs w:val="24"/>
        </w:rPr>
        <w:footnoteReference w:id="8"/>
      </w:r>
      <w:r w:rsidRPr="00BA66C7">
        <w:rPr>
          <w:rFonts w:eastAsia="Calibri" w:cs="Times New Roman"/>
          <w:szCs w:val="24"/>
        </w:rPr>
        <w:t xml:space="preserve"> and</w:t>
      </w:r>
    </w:p>
    <w:p w:rsidR="00DD0625" w:rsidRPr="00BA66C7" w:rsidRDefault="00DD0625" w:rsidP="00CA47C3">
      <w:pPr>
        <w:spacing w:line="480" w:lineRule="auto"/>
        <w:jc w:val="both"/>
        <w:rPr>
          <w:rFonts w:eastAsia="Times New Roman" w:cs="Times New Roman"/>
          <w:szCs w:val="24"/>
        </w:rPr>
      </w:pPr>
      <w:r w:rsidRPr="00BA66C7">
        <w:rPr>
          <w:rFonts w:eastAsia="Calibri" w:cs="Times New Roman"/>
          <w:b/>
          <w:szCs w:val="24"/>
        </w:rPr>
        <w:tab/>
        <w:t>WHEREAS</w:t>
      </w:r>
      <w:r w:rsidRPr="00BA66C7">
        <w:rPr>
          <w:rFonts w:eastAsia="Calibri" w:cs="Times New Roman"/>
          <w:szCs w:val="24"/>
        </w:rPr>
        <w:t xml:space="preserve">, Staff and </w:t>
      </w:r>
      <w:r w:rsidR="009F779D">
        <w:rPr>
          <w:rFonts w:eastAsia="Calibri" w:cs="Times New Roman"/>
          <w:szCs w:val="24"/>
        </w:rPr>
        <w:t>Peninsula</w:t>
      </w:r>
      <w:r w:rsidRPr="00BA66C7">
        <w:rPr>
          <w:rFonts w:eastAsia="Calibri" w:cs="Times New Roman"/>
          <w:szCs w:val="24"/>
        </w:rPr>
        <w:t xml:space="preserve"> submit that resolving this matter thr</w:t>
      </w:r>
      <w:r w:rsidR="007B7C0D">
        <w:rPr>
          <w:rFonts w:eastAsia="Calibri" w:cs="Times New Roman"/>
          <w:szCs w:val="24"/>
        </w:rPr>
        <w:t>ough a negotiated compromise</w:t>
      </w:r>
      <w:r w:rsidRPr="00BA66C7">
        <w:rPr>
          <w:rFonts w:eastAsia="Calibri" w:cs="Times New Roman"/>
          <w:szCs w:val="24"/>
        </w:rPr>
        <w:t xml:space="preserve"> without the need for a formal evidentiary hearing </w:t>
      </w:r>
      <w:r w:rsidR="007B7C0D">
        <w:rPr>
          <w:rFonts w:eastAsia="Calibri" w:cs="Times New Roman"/>
          <w:szCs w:val="24"/>
        </w:rPr>
        <w:t xml:space="preserve">or further administrative proceedings </w:t>
      </w:r>
      <w:r w:rsidRPr="00BA66C7">
        <w:rPr>
          <w:rFonts w:eastAsia="Calibri" w:cs="Times New Roman"/>
          <w:szCs w:val="24"/>
        </w:rPr>
        <w:t>serves the public interest</w:t>
      </w:r>
      <w:r w:rsidR="007B7C0D">
        <w:rPr>
          <w:rFonts w:eastAsia="Calibri" w:cs="Times New Roman"/>
          <w:szCs w:val="24"/>
        </w:rPr>
        <w:t xml:space="preserve">, yields </w:t>
      </w:r>
      <w:r w:rsidR="00704F55">
        <w:rPr>
          <w:rFonts w:eastAsia="Calibri" w:cs="Times New Roman"/>
          <w:szCs w:val="24"/>
        </w:rPr>
        <w:t>an</w:t>
      </w:r>
      <w:r w:rsidR="007B7C0D">
        <w:rPr>
          <w:rFonts w:eastAsia="Calibri" w:cs="Times New Roman"/>
          <w:szCs w:val="24"/>
        </w:rPr>
        <w:t xml:space="preserve"> equitable result, and</w:t>
      </w:r>
      <w:r w:rsidRPr="00BA66C7">
        <w:rPr>
          <w:rFonts w:eastAsia="Calibri" w:cs="Times New Roman"/>
          <w:szCs w:val="24"/>
        </w:rPr>
        <w:t xml:space="preserve"> that </w:t>
      </w:r>
      <w:r w:rsidRPr="00BA66C7">
        <w:rPr>
          <w:rFonts w:eastAsia="Times New Roman" w:cs="Times New Roman"/>
          <w:szCs w:val="24"/>
        </w:rPr>
        <w:t>t</w:t>
      </w:r>
      <w:r w:rsidR="006865A3">
        <w:rPr>
          <w:rFonts w:eastAsia="Times New Roman" w:cs="Times New Roman"/>
          <w:szCs w:val="24"/>
        </w:rPr>
        <w:t>he civil p</w:t>
      </w:r>
      <w:r w:rsidRPr="00BA66C7">
        <w:rPr>
          <w:rFonts w:eastAsia="Times New Roman" w:cs="Times New Roman"/>
          <w:szCs w:val="24"/>
        </w:rPr>
        <w:t xml:space="preserve">enalties are within the bounds of </w:t>
      </w:r>
      <w:r w:rsidR="007B7C0D">
        <w:rPr>
          <w:rFonts w:eastAsia="Times New Roman" w:cs="Times New Roman"/>
          <w:szCs w:val="24"/>
        </w:rPr>
        <w:t xml:space="preserve">reasonableness </w:t>
      </w:r>
      <w:r w:rsidRPr="00BA66C7">
        <w:rPr>
          <w:rFonts w:eastAsia="Times New Roman" w:cs="Times New Roman"/>
          <w:szCs w:val="24"/>
        </w:rPr>
        <w:t xml:space="preserve">based on circumstances unique to </w:t>
      </w:r>
      <w:r w:rsidR="009F779D">
        <w:rPr>
          <w:rFonts w:eastAsia="Times New Roman" w:cs="Times New Roman"/>
          <w:szCs w:val="24"/>
        </w:rPr>
        <w:t>Peninsula</w:t>
      </w:r>
      <w:r w:rsidR="007B7C0D">
        <w:rPr>
          <w:rFonts w:eastAsia="Times New Roman" w:cs="Times New Roman"/>
          <w:szCs w:val="24"/>
        </w:rPr>
        <w:t>:</w:t>
      </w:r>
      <w:r w:rsidRPr="00BA66C7">
        <w:rPr>
          <w:rFonts w:eastAsia="Times New Roman" w:cs="Times New Roman"/>
          <w:szCs w:val="24"/>
        </w:rPr>
        <w:t xml:space="preserve">  </w:t>
      </w:r>
    </w:p>
    <w:p w:rsidR="007B7C22" w:rsidRDefault="007B7C22" w:rsidP="007B7C22">
      <w:pPr>
        <w:rPr>
          <w:rFonts w:eastAsia="Times New Roman" w:cs="Times New Roman"/>
          <w:szCs w:val="24"/>
        </w:rPr>
      </w:pPr>
    </w:p>
    <w:p w:rsidR="0003342B" w:rsidRDefault="00731361" w:rsidP="00DF177F">
      <w:pPr>
        <w:jc w:val="center"/>
        <w:rPr>
          <w:rFonts w:eastAsia="Times New Roman" w:cs="Times New Roman"/>
          <w:b/>
          <w:bCs/>
          <w:szCs w:val="24"/>
        </w:rPr>
      </w:pPr>
      <w:r w:rsidRPr="00BA66C7">
        <w:rPr>
          <w:rFonts w:eastAsia="Times New Roman" w:cs="Times New Roman"/>
          <w:b/>
          <w:bCs/>
          <w:szCs w:val="24"/>
        </w:rPr>
        <w:t>NOW, THEREFORE, IT IS ORDERED BY THE AFFIRMATIVE</w:t>
      </w:r>
      <w:r w:rsidR="00DF177F">
        <w:rPr>
          <w:rFonts w:eastAsia="Times New Roman" w:cs="Times New Roman"/>
          <w:b/>
          <w:bCs/>
          <w:szCs w:val="24"/>
        </w:rPr>
        <w:t xml:space="preserve"> </w:t>
      </w:r>
    </w:p>
    <w:p w:rsidR="00731361" w:rsidRPr="00BA66C7" w:rsidRDefault="00731361" w:rsidP="0003342B">
      <w:pPr>
        <w:jc w:val="center"/>
        <w:rPr>
          <w:rFonts w:eastAsia="Times New Roman" w:cs="Times New Roman"/>
          <w:b/>
          <w:bCs/>
          <w:szCs w:val="24"/>
        </w:rPr>
      </w:pPr>
      <w:r w:rsidRPr="00BA66C7">
        <w:rPr>
          <w:rFonts w:eastAsia="Times New Roman" w:cs="Times New Roman"/>
          <w:b/>
          <w:bCs/>
          <w:szCs w:val="24"/>
        </w:rPr>
        <w:t>VOTE OF NOT FEWER THAN THREE COMMISSIONERS:</w:t>
      </w:r>
    </w:p>
    <w:p w:rsidR="004B48A3" w:rsidRPr="00BA66C7" w:rsidRDefault="004B48A3" w:rsidP="004B48A3">
      <w:pPr>
        <w:rPr>
          <w:rFonts w:eastAsia="Times New Roman" w:cs="Times New Roman"/>
          <w:bCs/>
          <w:szCs w:val="24"/>
        </w:rPr>
      </w:pPr>
    </w:p>
    <w:p w:rsidR="00731361" w:rsidRPr="00BA66C7" w:rsidRDefault="00731361" w:rsidP="00731361">
      <w:pPr>
        <w:spacing w:line="480" w:lineRule="auto"/>
        <w:jc w:val="both"/>
        <w:rPr>
          <w:rFonts w:eastAsia="Calibri" w:cs="Times New Roman"/>
          <w:szCs w:val="24"/>
        </w:rPr>
      </w:pPr>
      <w:r w:rsidRPr="00BA66C7">
        <w:rPr>
          <w:rFonts w:eastAsia="Calibri" w:cs="Times New Roman"/>
          <w:szCs w:val="24"/>
        </w:rPr>
        <w:tab/>
        <w:t>1.</w:t>
      </w:r>
      <w:r w:rsidRPr="00BA66C7">
        <w:rPr>
          <w:rFonts w:eastAsia="Calibri" w:cs="Times New Roman"/>
          <w:szCs w:val="24"/>
        </w:rPr>
        <w:tab/>
        <w:t xml:space="preserve">Pursuant to 26 </w:t>
      </w:r>
      <w:r w:rsidRPr="00BA66C7">
        <w:rPr>
          <w:rFonts w:eastAsia="Calibri" w:cs="Times New Roman"/>
          <w:i/>
          <w:iCs/>
          <w:szCs w:val="24"/>
        </w:rPr>
        <w:t>Del. C.</w:t>
      </w:r>
      <w:r w:rsidRPr="00BA66C7">
        <w:rPr>
          <w:rFonts w:eastAsia="Calibri" w:cs="Times New Roman"/>
          <w:szCs w:val="24"/>
        </w:rPr>
        <w:t xml:space="preserve"> §</w:t>
      </w:r>
      <w:r w:rsidR="006437FA">
        <w:rPr>
          <w:rFonts w:eastAsia="Calibri" w:cs="Times New Roman"/>
          <w:szCs w:val="24"/>
        </w:rPr>
        <w:t xml:space="preserve"> </w:t>
      </w:r>
      <w:r w:rsidRPr="00BA66C7">
        <w:rPr>
          <w:rFonts w:eastAsia="Calibri" w:cs="Times New Roman"/>
          <w:szCs w:val="24"/>
        </w:rPr>
        <w:t xml:space="preserve">512(c), the Commission finds that the </w:t>
      </w:r>
      <w:r w:rsidR="00A1554A" w:rsidRPr="00BA66C7">
        <w:rPr>
          <w:rFonts w:eastAsia="Calibri" w:cs="Times New Roman"/>
          <w:szCs w:val="24"/>
        </w:rPr>
        <w:t xml:space="preserve">attached </w:t>
      </w:r>
      <w:r w:rsidRPr="00BA66C7">
        <w:rPr>
          <w:rFonts w:eastAsia="Calibri" w:cs="Times New Roman"/>
          <w:szCs w:val="24"/>
        </w:rPr>
        <w:t>Proposed Consent Agreement is in the public interest for the reasons set forth above and, therefore, approves such agreement in full.</w:t>
      </w:r>
    </w:p>
    <w:p w:rsidR="00731361" w:rsidRPr="00BA66C7" w:rsidRDefault="00731361" w:rsidP="00731361">
      <w:pPr>
        <w:spacing w:line="480" w:lineRule="auto"/>
        <w:jc w:val="both"/>
        <w:rPr>
          <w:rFonts w:eastAsia="Calibri" w:cs="Times New Roman"/>
          <w:szCs w:val="24"/>
        </w:rPr>
      </w:pPr>
      <w:r w:rsidRPr="00BA66C7">
        <w:rPr>
          <w:rFonts w:eastAsia="Calibri" w:cs="Times New Roman"/>
          <w:szCs w:val="24"/>
        </w:rPr>
        <w:tab/>
        <w:t>2.</w:t>
      </w:r>
      <w:r w:rsidRPr="00BA66C7">
        <w:rPr>
          <w:rFonts w:eastAsia="Calibri" w:cs="Times New Roman"/>
          <w:szCs w:val="24"/>
        </w:rPr>
        <w:tab/>
        <w:t xml:space="preserve">Pursuant to 26 </w:t>
      </w:r>
      <w:r w:rsidRPr="00BA66C7">
        <w:rPr>
          <w:rFonts w:eastAsia="Calibri" w:cs="Times New Roman"/>
          <w:i/>
          <w:iCs/>
          <w:szCs w:val="24"/>
        </w:rPr>
        <w:t>Del. Admin. C.</w:t>
      </w:r>
      <w:r w:rsidRPr="00BA66C7">
        <w:rPr>
          <w:rFonts w:eastAsia="Calibri" w:cs="Times New Roman"/>
          <w:szCs w:val="24"/>
        </w:rPr>
        <w:t xml:space="preserve"> §</w:t>
      </w:r>
      <w:r w:rsidR="006437FA">
        <w:rPr>
          <w:rFonts w:eastAsia="Calibri" w:cs="Times New Roman"/>
          <w:szCs w:val="24"/>
        </w:rPr>
        <w:t xml:space="preserve"> </w:t>
      </w:r>
      <w:r w:rsidRPr="00BA66C7">
        <w:rPr>
          <w:rFonts w:eastAsia="Calibri" w:cs="Times New Roman"/>
          <w:szCs w:val="24"/>
        </w:rPr>
        <w:t>8001-7.1.2, 49 U.S.C. §</w:t>
      </w:r>
      <w:r w:rsidR="006437FA">
        <w:rPr>
          <w:rFonts w:eastAsia="Calibri" w:cs="Times New Roman"/>
          <w:szCs w:val="24"/>
        </w:rPr>
        <w:t xml:space="preserve"> </w:t>
      </w:r>
      <w:r w:rsidRPr="00BA66C7">
        <w:rPr>
          <w:rFonts w:eastAsia="Calibri" w:cs="Times New Roman"/>
          <w:szCs w:val="24"/>
        </w:rPr>
        <w:t xml:space="preserve">60122(a), and subpart B of Part 190 of the Federal Regulations, </w:t>
      </w:r>
      <w:r w:rsidR="00765B68">
        <w:rPr>
          <w:rFonts w:eastAsia="Calibri" w:cs="Times New Roman"/>
          <w:szCs w:val="24"/>
        </w:rPr>
        <w:t xml:space="preserve">and as has been agreed to by Peninsula, </w:t>
      </w:r>
      <w:r w:rsidRPr="00BA66C7">
        <w:rPr>
          <w:rFonts w:eastAsia="Calibri" w:cs="Times New Roman"/>
          <w:szCs w:val="24"/>
        </w:rPr>
        <w:t xml:space="preserve">the Commission assesses a civil penalty against </w:t>
      </w:r>
      <w:r w:rsidR="00765B68">
        <w:rPr>
          <w:rFonts w:eastAsia="Calibri" w:cs="Times New Roman"/>
          <w:szCs w:val="24"/>
        </w:rPr>
        <w:t xml:space="preserve">Peninsula </w:t>
      </w:r>
      <w:r w:rsidRPr="00BA66C7">
        <w:rPr>
          <w:rFonts w:eastAsia="Calibri" w:cs="Times New Roman"/>
          <w:szCs w:val="24"/>
        </w:rPr>
        <w:t>in the amount of $</w:t>
      </w:r>
      <w:r w:rsidR="009F779D">
        <w:rPr>
          <w:rFonts w:eastAsia="Calibri" w:cs="Times New Roman"/>
          <w:szCs w:val="24"/>
        </w:rPr>
        <w:t>14,000</w:t>
      </w:r>
      <w:r w:rsidR="00765B68">
        <w:rPr>
          <w:rFonts w:eastAsia="Calibri" w:cs="Times New Roman"/>
          <w:szCs w:val="24"/>
        </w:rPr>
        <w:t xml:space="preserve">, which the Commission acknowledges by this Order has been </w:t>
      </w:r>
      <w:r w:rsidRPr="00BA66C7">
        <w:rPr>
          <w:rFonts w:eastAsia="Calibri" w:cs="Times New Roman"/>
          <w:szCs w:val="24"/>
        </w:rPr>
        <w:t>pa</w:t>
      </w:r>
      <w:r w:rsidR="00765B68">
        <w:rPr>
          <w:rFonts w:eastAsia="Calibri" w:cs="Times New Roman"/>
          <w:szCs w:val="24"/>
        </w:rPr>
        <w:t>id.</w:t>
      </w:r>
    </w:p>
    <w:p w:rsidR="00731361" w:rsidRDefault="00731361" w:rsidP="00731361">
      <w:pPr>
        <w:spacing w:line="480" w:lineRule="auto"/>
        <w:ind w:firstLine="720"/>
        <w:jc w:val="both"/>
        <w:rPr>
          <w:rFonts w:eastAsia="Times New Roman" w:cs="Times New Roman"/>
          <w:szCs w:val="24"/>
        </w:rPr>
      </w:pPr>
      <w:r w:rsidRPr="00BA66C7">
        <w:rPr>
          <w:rFonts w:eastAsia="Times New Roman" w:cs="Times New Roman"/>
          <w:szCs w:val="24"/>
        </w:rPr>
        <w:t>3.</w:t>
      </w:r>
      <w:r w:rsidRPr="00BA66C7">
        <w:rPr>
          <w:rFonts w:eastAsia="Times New Roman" w:cs="Times New Roman"/>
          <w:szCs w:val="24"/>
        </w:rPr>
        <w:tab/>
        <w:t>The Commission reserves the jurisdiction and authority to enter such further Orders in this matter as may be deemed necessary or proper.</w:t>
      </w:r>
    </w:p>
    <w:p w:rsidR="00DF177F" w:rsidRPr="00BA66C7" w:rsidRDefault="00DF177F" w:rsidP="00731361">
      <w:pPr>
        <w:spacing w:line="480" w:lineRule="auto"/>
        <w:ind w:firstLine="720"/>
        <w:jc w:val="both"/>
        <w:rPr>
          <w:rFonts w:eastAsia="Times New Roman" w:cs="Times New Roman"/>
          <w:szCs w:val="24"/>
        </w:rPr>
      </w:pPr>
    </w:p>
    <w:p w:rsidR="00731361" w:rsidRPr="00BA66C7" w:rsidRDefault="00731361" w:rsidP="00731361">
      <w:pPr>
        <w:ind w:left="4320"/>
        <w:jc w:val="both"/>
        <w:rPr>
          <w:rFonts w:eastAsia="Times New Roman" w:cs="Times New Roman"/>
          <w:b/>
          <w:szCs w:val="24"/>
        </w:rPr>
      </w:pPr>
      <w:r w:rsidRPr="00BA66C7">
        <w:rPr>
          <w:rFonts w:eastAsia="Times New Roman" w:cs="Times New Roman"/>
          <w:b/>
          <w:szCs w:val="24"/>
        </w:rPr>
        <w:lastRenderedPageBreak/>
        <w:t>BY ORDER OF THE COMMISSION:</w:t>
      </w: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t>Chair</w:t>
      </w:r>
      <w:r w:rsidR="00DF177F">
        <w:rPr>
          <w:rFonts w:eastAsia="Times New Roman" w:cs="Times New Roman"/>
          <w:szCs w:val="24"/>
        </w:rPr>
        <w:t>man</w:t>
      </w: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t>Commissioner</w:t>
      </w: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t>Commissioner</w:t>
      </w: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t>Commissioner</w:t>
      </w: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r>
      <w:r w:rsidRPr="00BA66C7">
        <w:rPr>
          <w:rFonts w:eastAsia="Times New Roman" w:cs="Times New Roman"/>
          <w:szCs w:val="24"/>
        </w:rPr>
        <w:tab/>
        <w:t>Commissioner</w:t>
      </w:r>
    </w:p>
    <w:p w:rsidR="00731361" w:rsidRPr="00BA66C7" w:rsidRDefault="00731361" w:rsidP="00731361">
      <w:pPr>
        <w:jc w:val="both"/>
        <w:rPr>
          <w:rFonts w:eastAsia="Times New Roman" w:cs="Times New Roman"/>
          <w:szCs w:val="24"/>
        </w:rPr>
      </w:pPr>
    </w:p>
    <w:p w:rsidR="00731361" w:rsidRDefault="00731361" w:rsidP="00731361">
      <w:pPr>
        <w:jc w:val="both"/>
        <w:rPr>
          <w:rFonts w:eastAsia="Times New Roman" w:cs="Times New Roman"/>
          <w:szCs w:val="24"/>
        </w:rPr>
      </w:pPr>
    </w:p>
    <w:p w:rsidR="00DF177F" w:rsidRDefault="00DF177F" w:rsidP="00731361">
      <w:pPr>
        <w:jc w:val="both"/>
        <w:rPr>
          <w:rFonts w:eastAsia="Times New Roman" w:cs="Times New Roman"/>
          <w:szCs w:val="24"/>
        </w:rPr>
      </w:pPr>
    </w:p>
    <w:p w:rsidR="00DF177F" w:rsidRDefault="00DF177F" w:rsidP="00731361">
      <w:pPr>
        <w:jc w:val="both"/>
        <w:rPr>
          <w:rFonts w:eastAsia="Times New Roman" w:cs="Times New Roman"/>
          <w:szCs w:val="24"/>
        </w:rPr>
      </w:pPr>
    </w:p>
    <w:p w:rsidR="00960B9C" w:rsidRPr="00BA66C7" w:rsidRDefault="00960B9C"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p>
    <w:p w:rsidR="00731361" w:rsidRPr="00BA66C7" w:rsidRDefault="00731361" w:rsidP="00731361">
      <w:pPr>
        <w:jc w:val="both"/>
        <w:rPr>
          <w:rFonts w:eastAsia="Times New Roman" w:cs="Times New Roman"/>
          <w:szCs w:val="24"/>
        </w:rPr>
      </w:pPr>
      <w:r w:rsidRPr="00BA66C7">
        <w:rPr>
          <w:rFonts w:eastAsia="Times New Roman" w:cs="Times New Roman"/>
          <w:szCs w:val="24"/>
        </w:rPr>
        <w:t>ATTEST:</w:t>
      </w:r>
    </w:p>
    <w:p w:rsidR="00731361" w:rsidRPr="00BA66C7" w:rsidRDefault="00731361" w:rsidP="00731361">
      <w:pPr>
        <w:jc w:val="both"/>
        <w:rPr>
          <w:rFonts w:eastAsia="Times New Roman" w:cs="Times New Roman"/>
          <w:szCs w:val="24"/>
          <w:u w:val="single"/>
        </w:rPr>
      </w:pPr>
    </w:p>
    <w:p w:rsidR="00731361" w:rsidRPr="00BA66C7" w:rsidRDefault="00731361" w:rsidP="00731361">
      <w:pPr>
        <w:jc w:val="both"/>
        <w:rPr>
          <w:rFonts w:eastAsia="Times New Roman" w:cs="Times New Roman"/>
          <w:szCs w:val="24"/>
          <w:u w:val="single"/>
        </w:rPr>
      </w:pPr>
    </w:p>
    <w:p w:rsidR="00731361" w:rsidRPr="00BA66C7" w:rsidRDefault="00731361" w:rsidP="00731361">
      <w:pPr>
        <w:jc w:val="both"/>
        <w:rPr>
          <w:rFonts w:eastAsia="Times New Roman" w:cs="Times New Roman"/>
          <w:szCs w:val="24"/>
          <w:u w:val="single"/>
        </w:rPr>
      </w:pPr>
    </w:p>
    <w:p w:rsidR="00731361" w:rsidRPr="00BA66C7" w:rsidRDefault="00731361" w:rsidP="00731361">
      <w:pPr>
        <w:jc w:val="both"/>
        <w:rPr>
          <w:rFonts w:eastAsia="Times New Roman" w:cs="Times New Roman"/>
          <w:szCs w:val="24"/>
        </w:rPr>
      </w:pP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r w:rsidRPr="00BA66C7">
        <w:rPr>
          <w:rFonts w:eastAsia="Times New Roman" w:cs="Times New Roman"/>
          <w:szCs w:val="24"/>
          <w:u w:val="single"/>
        </w:rPr>
        <w:tab/>
      </w:r>
    </w:p>
    <w:p w:rsidR="00731361" w:rsidRPr="00BA66C7" w:rsidRDefault="00731361" w:rsidP="00731361">
      <w:pPr>
        <w:jc w:val="both"/>
        <w:rPr>
          <w:rFonts w:eastAsia="Times New Roman" w:cs="Times New Roman"/>
          <w:szCs w:val="24"/>
        </w:rPr>
      </w:pPr>
      <w:r w:rsidRPr="00BA66C7">
        <w:rPr>
          <w:rFonts w:eastAsia="Times New Roman" w:cs="Times New Roman"/>
          <w:szCs w:val="24"/>
        </w:rPr>
        <w:t>Secretary</w:t>
      </w:r>
    </w:p>
    <w:p w:rsidR="00731361" w:rsidRPr="00BA66C7" w:rsidRDefault="00731361" w:rsidP="00731361">
      <w:pPr>
        <w:rPr>
          <w:rFonts w:eastAsia="Calibri" w:cs="Times New Roman"/>
          <w:szCs w:val="24"/>
        </w:rPr>
      </w:pPr>
    </w:p>
    <w:p w:rsidR="00731361" w:rsidRPr="00BA66C7" w:rsidRDefault="00731361" w:rsidP="00731361">
      <w:pPr>
        <w:jc w:val="center"/>
        <w:rPr>
          <w:rFonts w:eastAsia="Calibri" w:cs="Times New Roman"/>
          <w:b/>
          <w:szCs w:val="24"/>
          <w:u w:val="single"/>
        </w:rPr>
        <w:sectPr w:rsidR="00731361" w:rsidRPr="00BA66C7" w:rsidSect="00AA0CDC">
          <w:headerReference w:type="default" r:id="rId7"/>
          <w:footerReference w:type="default" r:id="rId8"/>
          <w:footerReference w:type="first" r:id="rId9"/>
          <w:pgSz w:w="12240" w:h="15840"/>
          <w:pgMar w:top="1440" w:right="1440" w:bottom="1440" w:left="1440" w:header="720" w:footer="720" w:gutter="0"/>
          <w:cols w:space="720"/>
          <w:titlePg/>
          <w:docGrid w:linePitch="360"/>
        </w:sectPr>
      </w:pPr>
    </w:p>
    <w:p w:rsidR="00731361" w:rsidRPr="00BA66C7" w:rsidRDefault="00731361" w:rsidP="00731361">
      <w:pPr>
        <w:jc w:val="center"/>
        <w:rPr>
          <w:rFonts w:eastAsia="Calibri" w:cs="Times New Roman"/>
          <w:b/>
          <w:szCs w:val="24"/>
          <w:u w:val="single"/>
        </w:rPr>
      </w:pPr>
      <w:r w:rsidRPr="00BA66C7">
        <w:rPr>
          <w:rFonts w:eastAsia="Calibri" w:cs="Times New Roman"/>
          <w:b/>
          <w:szCs w:val="24"/>
          <w:u w:val="single"/>
        </w:rPr>
        <w:lastRenderedPageBreak/>
        <w:t>ATTACHMENT “A”</w:t>
      </w:r>
    </w:p>
    <w:p w:rsidR="00731361" w:rsidRPr="00BA66C7" w:rsidRDefault="00731361" w:rsidP="00731361">
      <w:pPr>
        <w:rPr>
          <w:rFonts w:eastAsia="Calibri" w:cs="Times New Roman"/>
          <w:b/>
          <w:szCs w:val="24"/>
        </w:rPr>
      </w:pPr>
    </w:p>
    <w:p w:rsidR="00731361" w:rsidRPr="00BA66C7" w:rsidRDefault="00731361" w:rsidP="00731361">
      <w:pPr>
        <w:rPr>
          <w:rFonts w:eastAsia="Calibri" w:cs="Times New Roman"/>
          <w:b/>
          <w:szCs w:val="24"/>
        </w:rPr>
      </w:pPr>
    </w:p>
    <w:p w:rsidR="00731361" w:rsidRPr="00BA66C7" w:rsidRDefault="009F779D" w:rsidP="00731361">
      <w:pPr>
        <w:jc w:val="center"/>
        <w:rPr>
          <w:rFonts w:eastAsia="Calibri" w:cs="Times New Roman"/>
          <w:b/>
          <w:szCs w:val="24"/>
        </w:rPr>
      </w:pPr>
      <w:r>
        <w:rPr>
          <w:rFonts w:eastAsia="Calibri" w:cs="Times New Roman"/>
          <w:b/>
          <w:szCs w:val="24"/>
        </w:rPr>
        <w:t xml:space="preserve">Executed January </w:t>
      </w:r>
      <w:r w:rsidR="00DD18E3">
        <w:rPr>
          <w:rFonts w:eastAsia="Calibri" w:cs="Times New Roman"/>
          <w:b/>
          <w:szCs w:val="24"/>
        </w:rPr>
        <w:t>31</w:t>
      </w:r>
      <w:r>
        <w:rPr>
          <w:rFonts w:eastAsia="Calibri" w:cs="Times New Roman"/>
          <w:b/>
          <w:szCs w:val="24"/>
        </w:rPr>
        <w:t>, 2020</w:t>
      </w:r>
      <w:r w:rsidR="00731361" w:rsidRPr="00BA66C7">
        <w:rPr>
          <w:rFonts w:eastAsia="Calibri" w:cs="Times New Roman"/>
          <w:b/>
          <w:szCs w:val="24"/>
        </w:rPr>
        <w:t xml:space="preserve"> </w:t>
      </w:r>
      <w:r w:rsidR="007304D8">
        <w:rPr>
          <w:rFonts w:eastAsia="Calibri" w:cs="Times New Roman"/>
          <w:b/>
          <w:szCs w:val="24"/>
        </w:rPr>
        <w:t xml:space="preserve">Proposed </w:t>
      </w:r>
      <w:r w:rsidR="00731361" w:rsidRPr="00BA66C7">
        <w:rPr>
          <w:rFonts w:eastAsia="Calibri" w:cs="Times New Roman"/>
          <w:b/>
          <w:szCs w:val="24"/>
        </w:rPr>
        <w:t xml:space="preserve">Consent Agreement </w:t>
      </w:r>
    </w:p>
    <w:p w:rsidR="00731361" w:rsidRPr="00BA66C7" w:rsidRDefault="00731361" w:rsidP="00731361">
      <w:pPr>
        <w:rPr>
          <w:rFonts w:eastAsia="Calibri" w:cs="Times New Roman"/>
          <w:szCs w:val="24"/>
        </w:rPr>
      </w:pPr>
    </w:p>
    <w:p w:rsidR="00731361" w:rsidRPr="00BA66C7" w:rsidRDefault="00731361" w:rsidP="00731361">
      <w:pPr>
        <w:rPr>
          <w:rFonts w:eastAsia="Calibri" w:cs="Times New Roman"/>
          <w:szCs w:val="24"/>
        </w:rPr>
      </w:pPr>
    </w:p>
    <w:p w:rsidR="00731361" w:rsidRPr="00BA66C7" w:rsidRDefault="00731361" w:rsidP="00731361">
      <w:pPr>
        <w:rPr>
          <w:rFonts w:cs="Times New Roman"/>
          <w:szCs w:val="24"/>
        </w:rPr>
      </w:pPr>
    </w:p>
    <w:p w:rsidR="0054160D" w:rsidRPr="00BA66C7" w:rsidRDefault="0054160D">
      <w:pPr>
        <w:rPr>
          <w:rFonts w:cs="Times New Roman"/>
          <w:szCs w:val="24"/>
        </w:rPr>
      </w:pPr>
    </w:p>
    <w:sectPr w:rsidR="0054160D" w:rsidRPr="00BA66C7" w:rsidSect="00AA0CD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809" w:rsidRDefault="00083809" w:rsidP="00731361">
      <w:r>
        <w:separator/>
      </w:r>
    </w:p>
  </w:endnote>
  <w:endnote w:type="continuationSeparator" w:id="0">
    <w:p w:rsidR="00083809" w:rsidRDefault="00083809" w:rsidP="0073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85" w:rsidRPr="00861231" w:rsidRDefault="00547685" w:rsidP="00861231">
    <w:pPr>
      <w:pStyle w:val="Footer"/>
      <w:rPr>
        <w:rFonts w:ascii="Courier New" w:hAnsi="Courier New" w:cs="Courier New"/>
        <w:sz w:val="22"/>
      </w:rPr>
    </w:pPr>
    <w:r w:rsidRPr="00574F94">
      <w:rPr>
        <w:rFonts w:ascii="Courier New" w:hAnsi="Courier New" w:cs="Courier New"/>
        <w:noProof/>
        <w:sz w:val="16"/>
      </w:rPr>
      <w:t>{01542631;v1 }</w:t>
    </w:r>
    <w:r>
      <w:rPr>
        <w:rFonts w:ascii="Courier New" w:hAnsi="Courier New" w:cs="Courier New"/>
        <w:sz w:val="22"/>
      </w:rPr>
      <w:tab/>
    </w:r>
    <w:r w:rsidRPr="00B47D79">
      <w:rPr>
        <w:rFonts w:cs="Times New Roman"/>
        <w:szCs w:val="24"/>
      </w:rPr>
      <w:fldChar w:fldCharType="begin"/>
    </w:r>
    <w:r w:rsidRPr="00B47D79">
      <w:rPr>
        <w:rFonts w:cs="Times New Roman"/>
        <w:szCs w:val="24"/>
      </w:rPr>
      <w:instrText xml:space="preserve"> PAGE   \* MERGEFORMAT </w:instrText>
    </w:r>
    <w:r w:rsidRPr="00B47D79">
      <w:rPr>
        <w:rFonts w:cs="Times New Roman"/>
        <w:szCs w:val="24"/>
      </w:rPr>
      <w:fldChar w:fldCharType="separate"/>
    </w:r>
    <w:r w:rsidR="00364EF7">
      <w:rPr>
        <w:rFonts w:cs="Times New Roman"/>
        <w:noProof/>
        <w:szCs w:val="24"/>
      </w:rPr>
      <w:t>4</w:t>
    </w:r>
    <w:r w:rsidRPr="00B47D79">
      <w:rPr>
        <w:rFonts w:cs="Times New Roman"/>
        <w:noProof/>
        <w:szCs w:val="24"/>
      </w:rPr>
      <w:fldChar w:fldCharType="end"/>
    </w:r>
  </w:p>
  <w:p w:rsidR="00547685" w:rsidRPr="00861231" w:rsidRDefault="0054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85" w:rsidRPr="00861231" w:rsidRDefault="00547685" w:rsidP="00861231">
    <w:pPr>
      <w:pStyle w:val="Footer"/>
    </w:pPr>
    <w:r w:rsidRPr="00574F94">
      <w:rPr>
        <w:noProof/>
        <w:sz w:val="16"/>
      </w:rPr>
      <w:t>{01542631;v1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809" w:rsidRDefault="00083809" w:rsidP="00731361">
      <w:pPr>
        <w:rPr>
          <w:noProof/>
        </w:rPr>
      </w:pPr>
      <w:r>
        <w:rPr>
          <w:noProof/>
        </w:rPr>
        <w:separator/>
      </w:r>
    </w:p>
  </w:footnote>
  <w:footnote w:type="continuationSeparator" w:id="0">
    <w:p w:rsidR="00083809" w:rsidRDefault="00083809" w:rsidP="00731361">
      <w:r>
        <w:continuationSeparator/>
      </w:r>
    </w:p>
  </w:footnote>
  <w:footnote w:id="1">
    <w:p w:rsidR="00547685" w:rsidRPr="005F7151" w:rsidRDefault="00547685" w:rsidP="00814BB4">
      <w:pPr>
        <w:pStyle w:val="FootnoteText"/>
        <w:rPr>
          <w:rFonts w:cs="Times New Roman"/>
        </w:rPr>
      </w:pPr>
      <w:r w:rsidRPr="005F7151">
        <w:rPr>
          <w:rStyle w:val="FootnoteReference"/>
          <w:rFonts w:cs="Times New Roman"/>
        </w:rPr>
        <w:footnoteRef/>
      </w:r>
      <w:r w:rsidRPr="005F7151">
        <w:rPr>
          <w:rFonts w:cs="Times New Roman"/>
        </w:rPr>
        <w:t xml:space="preserve"> 49 C.F.R. § 192.739(a) deals with “Pressure limiting and regulating stations:  Inspection and testing” and requires the following:  “Each pressure limiting station, relief device (except rupture discs), and pressure regulating station and its equipment must be subjected at intervals not exceeding 15 months, but at least once each calendar year, to inspections and tests to determine that it is (1) in good mechanical condition; (2) adequate from the standpoint of capacity and reliability of operation for the service in which it is employed; (3) except as provided in paragraph (b) of this section, set to control or relieve at the correct pressure consistent with the pressure limits of § 192.201(a); and (4) properly installed and protected from dirt, liquids, or other conditions that might prevent proper operation.” </w:t>
      </w:r>
    </w:p>
  </w:footnote>
  <w:footnote w:id="2">
    <w:p w:rsidR="00547685" w:rsidRPr="005F7151" w:rsidRDefault="00547685" w:rsidP="00814BB4">
      <w:pPr>
        <w:pStyle w:val="FootnoteText"/>
        <w:rPr>
          <w:rFonts w:cs="Times New Roman"/>
        </w:rPr>
      </w:pPr>
      <w:r w:rsidRPr="005F7151">
        <w:rPr>
          <w:rStyle w:val="FootnoteReference"/>
          <w:rFonts w:cs="Times New Roman"/>
        </w:rPr>
        <w:footnoteRef/>
      </w:r>
      <w:r w:rsidRPr="005F7151">
        <w:rPr>
          <w:rFonts w:cs="Times New Roman"/>
        </w:rPr>
        <w:t xml:space="preserve"> 49 C.F.R. § 192.605(a) deals with "Procedural manual for operations, maintenance, and emergencies” and states the following</w:t>
      </w:r>
      <w:r w:rsidR="00704F55" w:rsidRPr="005F7151">
        <w:rPr>
          <w:rFonts w:cs="Times New Roman"/>
        </w:rPr>
        <w:t>: “</w:t>
      </w:r>
      <w:r w:rsidRPr="005F7151">
        <w:rPr>
          <w:rFonts w:cs="Times New Roman"/>
        </w:rPr>
        <w:t>General. Each operator shall prepare and follow for each pipeline, a manual of written procedures for conducting operations and maintenance activities and for emergency response. For transmission lines, the manual must also include procedures for handling abnormal operations. This manual must be reviewed and updated by the operator at intervals not exceeding 15 months, but at least once each calendar year. This manual must be prepared before operations of a pipeline system commence. Appropriate parts of the manual must be kept at locations where operations and maintenance activities are conducted.”</w:t>
      </w:r>
    </w:p>
  </w:footnote>
  <w:footnote w:id="3">
    <w:p w:rsidR="00547685" w:rsidRPr="005F7151" w:rsidRDefault="00547685" w:rsidP="00B47D79">
      <w:pPr>
        <w:pStyle w:val="FootnoteText"/>
        <w:rPr>
          <w:rFonts w:cs="Times New Roman"/>
        </w:rPr>
      </w:pPr>
      <w:r w:rsidRPr="005F7151">
        <w:rPr>
          <w:rStyle w:val="FootnoteReference"/>
          <w:rFonts w:cs="Times New Roman"/>
        </w:rPr>
        <w:footnoteRef/>
      </w:r>
      <w:r w:rsidRPr="005F7151">
        <w:rPr>
          <w:rFonts w:cs="Times New Roman"/>
        </w:rPr>
        <w:t xml:space="preserve"> </w:t>
      </w:r>
      <w:r w:rsidRPr="005F7151">
        <w:rPr>
          <w:rFonts w:eastAsia="Calibri" w:cs="Times New Roman"/>
        </w:rPr>
        <w:t>49 C.F.R § 192.381(c)</w:t>
      </w:r>
      <w:r w:rsidRPr="005F7151">
        <w:rPr>
          <w:rFonts w:eastAsia="Times New Roman" w:cs="Times New Roman"/>
          <w:color w:val="333333"/>
          <w:shd w:val="clear" w:color="auto" w:fill="FFFFFF"/>
        </w:rPr>
        <w:t xml:space="preserve"> deals with the requirement that an </w:t>
      </w:r>
      <w:hyperlink r:id="rId1" w:history="1">
        <w:r w:rsidRPr="005F7151">
          <w:rPr>
            <w:rFonts w:eastAsia="Times New Roman" w:cs="Times New Roman"/>
          </w:rPr>
          <w:t>operator</w:t>
        </w:r>
      </w:hyperlink>
      <w:r w:rsidRPr="005F7151">
        <w:rPr>
          <w:rFonts w:eastAsia="Times New Roman" w:cs="Times New Roman"/>
          <w:color w:val="333333"/>
          <w:shd w:val="clear" w:color="auto" w:fill="FFFFFF"/>
        </w:rPr>
        <w:t xml:space="preserve"> must mark or otherwise identify the presence of an excess flow valve in the </w:t>
      </w:r>
      <w:hyperlink r:id="rId2" w:history="1">
        <w:r w:rsidRPr="005F7151">
          <w:rPr>
            <w:rFonts w:eastAsia="Times New Roman" w:cs="Times New Roman"/>
            <w:shd w:val="clear" w:color="auto" w:fill="FFFFFF"/>
          </w:rPr>
          <w:t>service line</w:t>
        </w:r>
      </w:hyperlink>
      <w:r w:rsidRPr="005F7151">
        <w:rPr>
          <w:rFonts w:eastAsia="Times New Roman" w:cs="Times New Roman"/>
          <w:color w:val="333333"/>
          <w:shd w:val="clear" w:color="auto" w:fill="FFFFFF"/>
        </w:rPr>
        <w:t>.</w:t>
      </w:r>
    </w:p>
  </w:footnote>
  <w:footnote w:id="4">
    <w:p w:rsidR="00547685" w:rsidRDefault="00547685" w:rsidP="00B47D79">
      <w:pPr>
        <w:pStyle w:val="FootnoteText"/>
      </w:pPr>
      <w:r w:rsidRPr="005F7151">
        <w:rPr>
          <w:rStyle w:val="FootnoteReference"/>
          <w:rFonts w:cs="Times New Roman"/>
        </w:rPr>
        <w:footnoteRef/>
      </w:r>
      <w:r w:rsidRPr="005F7151">
        <w:rPr>
          <w:rFonts w:cs="Times New Roman"/>
        </w:rPr>
        <w:t xml:space="preserve"> </w:t>
      </w:r>
      <w:r w:rsidRPr="005F7151">
        <w:rPr>
          <w:rFonts w:eastAsia="Calibri" w:cs="Times New Roman"/>
        </w:rPr>
        <w:t xml:space="preserve">NFPA </w:t>
      </w:r>
      <w:r w:rsidRPr="00B47D79">
        <w:rPr>
          <w:rFonts w:cs="Times New Roman"/>
        </w:rPr>
        <w:t>58</w:t>
      </w:r>
      <w:r w:rsidRPr="005F7151">
        <w:rPr>
          <w:rFonts w:eastAsia="Calibri" w:cs="Times New Roman"/>
        </w:rPr>
        <w:t xml:space="preserve"> (2004), Section 6.7.4.6 deals with </w:t>
      </w:r>
      <w:r w:rsidRPr="005F7151">
        <w:rPr>
          <w:rFonts w:cs="Times New Roman"/>
          <w:color w:val="000000"/>
        </w:rPr>
        <w:t>the point of discharge and its required location of not less than 5 ft</w:t>
      </w:r>
      <w:r>
        <w:rPr>
          <w:rFonts w:cs="Times New Roman"/>
          <w:color w:val="000000"/>
        </w:rPr>
        <w:t>.</w:t>
      </w:r>
      <w:r w:rsidRPr="005F7151">
        <w:rPr>
          <w:rFonts w:cs="Times New Roman"/>
          <w:color w:val="000000"/>
        </w:rPr>
        <w:t xml:space="preserve"> (1.5 m) in any direction away from any source of ignition, openings into direct-vent (sealed combustion system) appliances, or mechanical ventilation air intakes. </w:t>
      </w:r>
    </w:p>
  </w:footnote>
  <w:footnote w:id="5">
    <w:p w:rsidR="00547685" w:rsidRDefault="00547685" w:rsidP="00B47D79">
      <w:pPr>
        <w:widowControl w:val="0"/>
        <w:autoSpaceDE w:val="0"/>
        <w:autoSpaceDN w:val="0"/>
        <w:adjustRightInd w:val="0"/>
      </w:pPr>
      <w:r w:rsidRPr="00B47D79">
        <w:rPr>
          <w:rStyle w:val="FootnoteReference"/>
          <w:rFonts w:cs="Times New Roman"/>
          <w:sz w:val="20"/>
          <w:szCs w:val="20"/>
        </w:rPr>
        <w:footnoteRef/>
      </w:r>
      <w:r>
        <w:t xml:space="preserve"> </w:t>
      </w:r>
      <w:r w:rsidRPr="004712A2">
        <w:rPr>
          <w:rFonts w:eastAsia="Calibri" w:cs="Times New Roman"/>
          <w:sz w:val="20"/>
          <w:szCs w:val="20"/>
        </w:rPr>
        <w:t xml:space="preserve">NFPA 58 (2004), Section 5.2.8.3 deals with </w:t>
      </w:r>
      <w:r w:rsidRPr="004712A2">
        <w:rPr>
          <w:rFonts w:ascii="Times Roman" w:hAnsi="Times Roman" w:cs="Times Roman"/>
          <w:color w:val="000000"/>
          <w:sz w:val="20"/>
          <w:szCs w:val="20"/>
        </w:rPr>
        <w:t xml:space="preserve">markings specified for ASME containers shall be on a </w:t>
      </w:r>
      <w:r w:rsidR="00704F55" w:rsidRPr="004712A2">
        <w:rPr>
          <w:rFonts w:ascii="Times Roman" w:hAnsi="Times Roman" w:cs="Times Roman"/>
          <w:color w:val="000000"/>
          <w:sz w:val="20"/>
          <w:szCs w:val="20"/>
        </w:rPr>
        <w:t>stainless-steel</w:t>
      </w:r>
      <w:r w:rsidRPr="004712A2">
        <w:rPr>
          <w:rFonts w:ascii="Times Roman" w:hAnsi="Times Roman" w:cs="Times Roman"/>
          <w:color w:val="000000"/>
          <w:sz w:val="20"/>
          <w:szCs w:val="20"/>
        </w:rPr>
        <w:t xml:space="preserve"> metal nameplate attached to the container, located to remain visible after the container is installed. Sub-sections (b) &amp;(c) deal with situations where the container is buried or otherwise covered</w:t>
      </w:r>
      <w:r>
        <w:rPr>
          <w:rFonts w:ascii="Times Roman" w:hAnsi="Times Roman" w:cs="Times Roman"/>
          <w:color w:val="000000"/>
          <w:sz w:val="20"/>
          <w:szCs w:val="20"/>
        </w:rPr>
        <w:t>.</w:t>
      </w:r>
      <w:r>
        <w:t xml:space="preserve"> </w:t>
      </w:r>
    </w:p>
  </w:footnote>
  <w:footnote w:id="6">
    <w:p w:rsidR="00547685" w:rsidRDefault="00547685" w:rsidP="0045212E">
      <w:pPr>
        <w:pStyle w:val="FootnoteText"/>
        <w:jc w:val="both"/>
      </w:pPr>
      <w:r w:rsidRPr="002D1DAA">
        <w:rPr>
          <w:rStyle w:val="FootnoteReference"/>
          <w:rFonts w:cs="Times New Roman"/>
        </w:rPr>
        <w:footnoteRef/>
      </w:r>
      <w:r w:rsidRPr="002D1DAA">
        <w:rPr>
          <w:rFonts w:cs="Times New Roman"/>
        </w:rPr>
        <w:t xml:space="preserve">  </w:t>
      </w:r>
      <w:r w:rsidRPr="002D1DAA">
        <w:rPr>
          <w:rFonts w:eastAsia="Times New Roman" w:cs="Times New Roman"/>
          <w:spacing w:val="-1"/>
        </w:rPr>
        <w:t xml:space="preserve">49 C.F.R. </w:t>
      </w:r>
      <w:r w:rsidRPr="002D1DAA">
        <w:rPr>
          <w:rFonts w:eastAsia="Times New Roman" w:cs="Times New Roman"/>
        </w:rPr>
        <w:t>§</w:t>
      </w:r>
      <w:r w:rsidRPr="002D1DAA">
        <w:rPr>
          <w:rFonts w:eastAsia="Times New Roman" w:cs="Times New Roman"/>
          <w:spacing w:val="-1"/>
        </w:rPr>
        <w:t xml:space="preserve"> 192.329 deals with</w:t>
      </w:r>
      <w:r w:rsidRPr="002D1DAA">
        <w:rPr>
          <w:rFonts w:eastAsia="Times New Roman" w:cs="Times New Roman"/>
        </w:rPr>
        <w:t xml:space="preserve"> </w:t>
      </w:r>
      <w:r w:rsidRPr="002D1DAA">
        <w:rPr>
          <w:rFonts w:eastAsia="Times New Roman" w:cs="Times New Roman"/>
          <w:color w:val="323232"/>
          <w:spacing w:val="-1"/>
        </w:rPr>
        <w:t>plastic</w:t>
      </w:r>
      <w:r w:rsidRPr="002D1DAA">
        <w:rPr>
          <w:rFonts w:eastAsia="Times New Roman" w:cs="Times New Roman"/>
          <w:color w:val="323232"/>
        </w:rPr>
        <w:t xml:space="preserve"> </w:t>
      </w:r>
      <w:r w:rsidRPr="002D1DAA">
        <w:rPr>
          <w:rFonts w:eastAsia="Times New Roman" w:cs="Times New Roman"/>
          <w:spacing w:val="-1"/>
        </w:rPr>
        <w:t>pipelines</w:t>
      </w:r>
      <w:r w:rsidRPr="002D1DAA">
        <w:rPr>
          <w:rFonts w:eastAsia="Times New Roman" w:cs="Times New Roman"/>
        </w:rPr>
        <w:t xml:space="preserve"> </w:t>
      </w:r>
      <w:r w:rsidRPr="002D1DAA">
        <w:rPr>
          <w:rFonts w:eastAsia="Times New Roman" w:cs="Times New Roman"/>
          <w:color w:val="323232"/>
          <w:spacing w:val="-1"/>
        </w:rPr>
        <w:t xml:space="preserve">installed </w:t>
      </w:r>
      <w:r w:rsidRPr="002D1DAA">
        <w:rPr>
          <w:rFonts w:eastAsia="Times New Roman" w:cs="Times New Roman"/>
          <w:color w:val="323232"/>
        </w:rPr>
        <w:t>by</w:t>
      </w:r>
      <w:r w:rsidRPr="002D1DAA">
        <w:rPr>
          <w:rFonts w:eastAsia="Times New Roman" w:cs="Times New Roman"/>
          <w:color w:val="323232"/>
          <w:spacing w:val="-1"/>
        </w:rPr>
        <w:t xml:space="preserve"> trenchless excavation which</w:t>
      </w:r>
      <w:r w:rsidRPr="002D1DAA">
        <w:rPr>
          <w:rFonts w:eastAsia="Times New Roman" w:cs="Times New Roman"/>
          <w:color w:val="323232"/>
        </w:rPr>
        <w:t xml:space="preserve"> </w:t>
      </w:r>
      <w:r w:rsidRPr="002D1DAA">
        <w:rPr>
          <w:rFonts w:eastAsia="Times New Roman" w:cs="Times New Roman"/>
          <w:color w:val="323232"/>
          <w:spacing w:val="-1"/>
        </w:rPr>
        <w:t>must</w:t>
      </w:r>
      <w:r w:rsidRPr="002D1DAA">
        <w:rPr>
          <w:rFonts w:eastAsia="Times New Roman" w:cs="Times New Roman"/>
          <w:color w:val="323232"/>
        </w:rPr>
        <w:t xml:space="preserve"> </w:t>
      </w:r>
      <w:r w:rsidRPr="002D1DAA">
        <w:rPr>
          <w:rFonts w:eastAsia="Times New Roman" w:cs="Times New Roman"/>
          <w:color w:val="323232"/>
          <w:spacing w:val="-1"/>
        </w:rPr>
        <w:t>comply</w:t>
      </w:r>
      <w:r w:rsidRPr="002D1DAA">
        <w:rPr>
          <w:rFonts w:eastAsia="Times New Roman" w:cs="Times New Roman"/>
          <w:color w:val="323232"/>
        </w:rPr>
        <w:t xml:space="preserve"> </w:t>
      </w:r>
      <w:r w:rsidRPr="002D1DAA">
        <w:rPr>
          <w:rFonts w:eastAsia="Times New Roman" w:cs="Times New Roman"/>
          <w:color w:val="323232"/>
          <w:spacing w:val="-1"/>
        </w:rPr>
        <w:t>with</w:t>
      </w:r>
      <w:r w:rsidRPr="002D1DAA">
        <w:rPr>
          <w:rFonts w:eastAsia="Times New Roman" w:cs="Times New Roman"/>
          <w:color w:val="323232"/>
          <w:spacing w:val="1"/>
        </w:rPr>
        <w:t xml:space="preserve"> </w:t>
      </w:r>
      <w:r w:rsidRPr="002D1DAA">
        <w:rPr>
          <w:rFonts w:eastAsia="Times New Roman" w:cs="Times New Roman"/>
          <w:color w:val="323232"/>
          <w:spacing w:val="-1"/>
        </w:rPr>
        <w:t>the</w:t>
      </w:r>
      <w:r w:rsidRPr="002D1DAA">
        <w:rPr>
          <w:rFonts w:eastAsia="Times New Roman" w:cs="Times New Roman"/>
          <w:color w:val="323232"/>
          <w:spacing w:val="65"/>
        </w:rPr>
        <w:t xml:space="preserve"> </w:t>
      </w:r>
      <w:r w:rsidRPr="002D1DAA">
        <w:rPr>
          <w:rFonts w:eastAsia="Times New Roman" w:cs="Times New Roman"/>
          <w:color w:val="323232"/>
          <w:spacing w:val="-1"/>
        </w:rPr>
        <w:t>following:</w:t>
      </w:r>
      <w:r w:rsidRPr="002D1DAA">
        <w:rPr>
          <w:rFonts w:eastAsia="Times New Roman" w:cs="Times New Roman"/>
          <w:b/>
          <w:bCs/>
          <w:color w:val="323232"/>
          <w:spacing w:val="-1"/>
        </w:rPr>
        <w:t xml:space="preserve">(a) </w:t>
      </w:r>
      <w:r w:rsidRPr="002D1DAA">
        <w:rPr>
          <w:rFonts w:eastAsia="Times New Roman" w:cs="Times New Roman"/>
          <w:color w:val="323232"/>
          <w:spacing w:val="-1"/>
        </w:rPr>
        <w:t>Each operator must take practicable</w:t>
      </w:r>
      <w:r w:rsidRPr="002D1DAA">
        <w:rPr>
          <w:rFonts w:eastAsia="Times New Roman" w:cs="Times New Roman"/>
          <w:color w:val="323232"/>
        </w:rPr>
        <w:t xml:space="preserve"> steps </w:t>
      </w:r>
      <w:r w:rsidRPr="002D1DAA">
        <w:rPr>
          <w:rFonts w:eastAsia="Times New Roman" w:cs="Times New Roman"/>
          <w:color w:val="323232"/>
          <w:spacing w:val="-1"/>
        </w:rPr>
        <w:t>to</w:t>
      </w:r>
      <w:r w:rsidRPr="002D1DAA">
        <w:rPr>
          <w:rFonts w:eastAsia="Times New Roman" w:cs="Times New Roman"/>
          <w:color w:val="323232"/>
        </w:rPr>
        <w:t xml:space="preserve"> provide </w:t>
      </w:r>
      <w:r w:rsidRPr="002D1DAA">
        <w:rPr>
          <w:rFonts w:eastAsia="Times New Roman" w:cs="Times New Roman"/>
          <w:color w:val="323232"/>
          <w:spacing w:val="-1"/>
        </w:rPr>
        <w:t>sufficient clearance for installation and</w:t>
      </w:r>
      <w:r w:rsidRPr="002D1DAA">
        <w:rPr>
          <w:rFonts w:eastAsia="Times New Roman" w:cs="Times New Roman"/>
          <w:color w:val="323232"/>
          <w:spacing w:val="51"/>
        </w:rPr>
        <w:t xml:space="preserve"> </w:t>
      </w:r>
      <w:r w:rsidRPr="002D1DAA">
        <w:rPr>
          <w:rFonts w:eastAsia="Times New Roman" w:cs="Times New Roman"/>
          <w:color w:val="323232"/>
          <w:spacing w:val="-1"/>
        </w:rPr>
        <w:t>maintenance activities from</w:t>
      </w:r>
      <w:r w:rsidRPr="002D1DAA">
        <w:rPr>
          <w:rFonts w:eastAsia="Times New Roman" w:cs="Times New Roman"/>
          <w:color w:val="323232"/>
          <w:spacing w:val="-2"/>
        </w:rPr>
        <w:t xml:space="preserve"> </w:t>
      </w:r>
      <w:r w:rsidRPr="002D1DAA">
        <w:rPr>
          <w:rFonts w:eastAsia="Times New Roman" w:cs="Times New Roman"/>
          <w:color w:val="323232"/>
          <w:spacing w:val="-1"/>
        </w:rPr>
        <w:t xml:space="preserve">other underground utilities and/or structures at the </w:t>
      </w:r>
      <w:r w:rsidRPr="002D1DAA">
        <w:rPr>
          <w:rFonts w:eastAsia="Times New Roman" w:cs="Times New Roman"/>
          <w:color w:val="323232"/>
          <w:spacing w:val="-2"/>
        </w:rPr>
        <w:t>time</w:t>
      </w:r>
      <w:r w:rsidRPr="002D1DAA">
        <w:rPr>
          <w:rFonts w:eastAsia="Times New Roman" w:cs="Times New Roman"/>
          <w:color w:val="323232"/>
          <w:spacing w:val="-1"/>
        </w:rPr>
        <w:t xml:space="preserve"> </w:t>
      </w:r>
      <w:r w:rsidRPr="002D1DAA">
        <w:rPr>
          <w:rFonts w:eastAsia="Times New Roman" w:cs="Times New Roman"/>
          <w:color w:val="323232"/>
        </w:rPr>
        <w:t xml:space="preserve">of </w:t>
      </w:r>
      <w:r w:rsidRPr="002D1DAA">
        <w:rPr>
          <w:rFonts w:eastAsia="Times New Roman" w:cs="Times New Roman"/>
          <w:color w:val="323232"/>
          <w:spacing w:val="-1"/>
        </w:rPr>
        <w:t>installation;</w:t>
      </w:r>
      <w:r w:rsidRPr="002D1DAA">
        <w:rPr>
          <w:rFonts w:eastAsia="Times New Roman" w:cs="Times New Roman"/>
          <w:b/>
          <w:bCs/>
          <w:color w:val="323232"/>
          <w:spacing w:val="-1"/>
        </w:rPr>
        <w:t xml:space="preserve">(b) </w:t>
      </w:r>
      <w:r w:rsidRPr="002D1DAA">
        <w:rPr>
          <w:rFonts w:eastAsia="Times New Roman" w:cs="Times New Roman"/>
          <w:color w:val="323232"/>
          <w:spacing w:val="-1"/>
        </w:rPr>
        <w:t>For</w:t>
      </w:r>
      <w:r w:rsidRPr="002D1DAA">
        <w:rPr>
          <w:rFonts w:eastAsia="Times New Roman" w:cs="Times New Roman"/>
        </w:rPr>
        <w:t xml:space="preserve"> </w:t>
      </w:r>
      <w:r w:rsidRPr="002D1DAA">
        <w:rPr>
          <w:rFonts w:eastAsia="Times New Roman" w:cs="Times New Roman"/>
          <w:color w:val="323232"/>
        </w:rPr>
        <w:t>each</w:t>
      </w:r>
      <w:r w:rsidRPr="002D1DAA">
        <w:rPr>
          <w:rFonts w:eastAsia="Times New Roman" w:cs="Times New Roman"/>
          <w:color w:val="323232"/>
          <w:spacing w:val="-1"/>
        </w:rPr>
        <w:t xml:space="preserve"> </w:t>
      </w:r>
      <w:r w:rsidRPr="002D1DAA">
        <w:rPr>
          <w:rFonts w:eastAsia="Times New Roman" w:cs="Times New Roman"/>
          <w:color w:val="323232"/>
        </w:rPr>
        <w:t>pipeline</w:t>
      </w:r>
      <w:r w:rsidRPr="002D1DAA">
        <w:rPr>
          <w:rFonts w:eastAsia="Times New Roman" w:cs="Times New Roman"/>
          <w:color w:val="323232"/>
          <w:spacing w:val="-1"/>
        </w:rPr>
        <w:t xml:space="preserve"> section, </w:t>
      </w:r>
      <w:r w:rsidRPr="002D1DAA">
        <w:rPr>
          <w:rFonts w:eastAsia="Times New Roman" w:cs="Times New Roman"/>
          <w:color w:val="323232"/>
        </w:rPr>
        <w:t>plastic</w:t>
      </w:r>
      <w:r w:rsidRPr="002D1DAA">
        <w:rPr>
          <w:rFonts w:eastAsia="Times New Roman" w:cs="Times New Roman"/>
          <w:color w:val="323232"/>
          <w:spacing w:val="-1"/>
        </w:rPr>
        <w:t xml:space="preserve"> </w:t>
      </w:r>
      <w:r w:rsidRPr="002D1DAA">
        <w:rPr>
          <w:rFonts w:eastAsia="Times New Roman" w:cs="Times New Roman"/>
          <w:color w:val="323232"/>
        </w:rPr>
        <w:t xml:space="preserve">pipe </w:t>
      </w:r>
      <w:r w:rsidRPr="002D1DAA">
        <w:rPr>
          <w:rFonts w:eastAsia="Times New Roman" w:cs="Times New Roman"/>
          <w:color w:val="323232"/>
          <w:spacing w:val="-1"/>
        </w:rPr>
        <w:t>and</w:t>
      </w:r>
      <w:r w:rsidRPr="002D1DAA">
        <w:rPr>
          <w:rFonts w:eastAsia="Times New Roman" w:cs="Times New Roman"/>
          <w:color w:val="323232"/>
        </w:rPr>
        <w:t xml:space="preserve"> </w:t>
      </w:r>
      <w:r w:rsidRPr="002D1DAA">
        <w:rPr>
          <w:rFonts w:eastAsia="Times New Roman" w:cs="Times New Roman"/>
          <w:color w:val="323232"/>
          <w:spacing w:val="-1"/>
        </w:rPr>
        <w:t>components</w:t>
      </w:r>
      <w:r w:rsidRPr="002D1DAA">
        <w:rPr>
          <w:rFonts w:eastAsia="Times New Roman" w:cs="Times New Roman"/>
          <w:color w:val="323232"/>
        </w:rPr>
        <w:t xml:space="preserve"> </w:t>
      </w:r>
      <w:r w:rsidRPr="002D1DAA">
        <w:rPr>
          <w:rFonts w:eastAsia="Times New Roman" w:cs="Times New Roman"/>
          <w:color w:val="323232"/>
          <w:spacing w:val="-1"/>
        </w:rPr>
        <w:t>that</w:t>
      </w:r>
      <w:r w:rsidRPr="002D1DAA">
        <w:rPr>
          <w:rFonts w:eastAsia="Times New Roman" w:cs="Times New Roman"/>
          <w:color w:val="323232"/>
        </w:rPr>
        <w:t xml:space="preserve"> are</w:t>
      </w:r>
      <w:r w:rsidRPr="002D1DAA">
        <w:rPr>
          <w:rFonts w:eastAsia="Times New Roman" w:cs="Times New Roman"/>
          <w:color w:val="323232"/>
          <w:spacing w:val="-3"/>
        </w:rPr>
        <w:t xml:space="preserve"> </w:t>
      </w:r>
      <w:r w:rsidRPr="002D1DAA">
        <w:rPr>
          <w:rFonts w:eastAsia="Times New Roman" w:cs="Times New Roman"/>
          <w:color w:val="323232"/>
          <w:spacing w:val="-1"/>
        </w:rPr>
        <w:t>pulled through the ground</w:t>
      </w:r>
      <w:r w:rsidRPr="002D1DAA">
        <w:rPr>
          <w:rFonts w:eastAsia="Times New Roman" w:cs="Times New Roman"/>
          <w:color w:val="323232"/>
        </w:rPr>
        <w:t xml:space="preserve"> </w:t>
      </w:r>
      <w:r w:rsidRPr="002D1DAA">
        <w:rPr>
          <w:rFonts w:eastAsia="Times New Roman" w:cs="Times New Roman"/>
          <w:color w:val="323232"/>
          <w:spacing w:val="-1"/>
        </w:rPr>
        <w:t>must</w:t>
      </w:r>
      <w:r w:rsidRPr="002D1DAA">
        <w:rPr>
          <w:rFonts w:eastAsia="Times New Roman" w:cs="Times New Roman"/>
          <w:color w:val="323232"/>
        </w:rPr>
        <w:t xml:space="preserve"> use a</w:t>
      </w:r>
      <w:r w:rsidRPr="002D1DAA">
        <w:rPr>
          <w:rFonts w:eastAsia="Times New Roman" w:cs="Times New Roman"/>
          <w:color w:val="323232"/>
          <w:spacing w:val="-1"/>
        </w:rPr>
        <w:t xml:space="preserve"> weak</w:t>
      </w:r>
      <w:r w:rsidRPr="002D1DAA">
        <w:rPr>
          <w:rFonts w:eastAsia="Times New Roman" w:cs="Times New Roman"/>
          <w:color w:val="323232"/>
        </w:rPr>
        <w:t xml:space="preserve"> </w:t>
      </w:r>
      <w:r w:rsidRPr="002D1DAA">
        <w:rPr>
          <w:rFonts w:eastAsia="Times New Roman" w:cs="Times New Roman"/>
          <w:color w:val="323232"/>
          <w:spacing w:val="-1"/>
        </w:rPr>
        <w:t>link,</w:t>
      </w:r>
      <w:r w:rsidRPr="002D1DAA">
        <w:rPr>
          <w:rFonts w:eastAsia="Times New Roman" w:cs="Times New Roman"/>
          <w:color w:val="323232"/>
        </w:rPr>
        <w:t xml:space="preserve"> as</w:t>
      </w:r>
      <w:r w:rsidRPr="002D1DAA">
        <w:rPr>
          <w:rFonts w:eastAsia="Times New Roman" w:cs="Times New Roman"/>
          <w:color w:val="323232"/>
          <w:spacing w:val="51"/>
        </w:rPr>
        <w:t xml:space="preserve"> </w:t>
      </w:r>
      <w:r w:rsidRPr="002D1DAA">
        <w:rPr>
          <w:rFonts w:eastAsia="Times New Roman" w:cs="Times New Roman"/>
          <w:color w:val="323232"/>
          <w:spacing w:val="-1"/>
        </w:rPr>
        <w:t xml:space="preserve">defined </w:t>
      </w:r>
      <w:r w:rsidRPr="002D1DAA">
        <w:rPr>
          <w:rFonts w:eastAsia="Times New Roman" w:cs="Times New Roman"/>
          <w:color w:val="323232"/>
        </w:rPr>
        <w:t>by</w:t>
      </w:r>
      <w:r w:rsidRPr="002D1DAA">
        <w:rPr>
          <w:rFonts w:eastAsia="Times New Roman" w:cs="Times New Roman"/>
          <w:color w:val="323232"/>
          <w:spacing w:val="-2"/>
        </w:rPr>
        <w:t xml:space="preserve"> </w:t>
      </w:r>
      <w:r w:rsidRPr="002D1DAA">
        <w:rPr>
          <w:rFonts w:eastAsia="Times New Roman" w:cs="Times New Roman"/>
          <w:color w:val="323232"/>
        </w:rPr>
        <w:t>§</w:t>
      </w:r>
      <w:r w:rsidRPr="002D1DAA">
        <w:rPr>
          <w:rFonts w:eastAsia="Times New Roman" w:cs="Times New Roman"/>
          <w:color w:val="323232"/>
          <w:spacing w:val="-1"/>
        </w:rPr>
        <w:t xml:space="preserve"> 192.3,</w:t>
      </w:r>
      <w:r w:rsidRPr="002D1DAA">
        <w:rPr>
          <w:rFonts w:eastAsia="Times New Roman" w:cs="Times New Roman"/>
          <w:color w:val="323232"/>
        </w:rPr>
        <w:t xml:space="preserve"> </w:t>
      </w:r>
      <w:r w:rsidRPr="002D1DAA">
        <w:rPr>
          <w:rFonts w:eastAsia="Times New Roman" w:cs="Times New Roman"/>
          <w:color w:val="323232"/>
          <w:spacing w:val="-1"/>
        </w:rPr>
        <w:t>to ensure the</w:t>
      </w:r>
      <w:r w:rsidRPr="002D1DAA">
        <w:rPr>
          <w:rFonts w:eastAsia="Times New Roman" w:cs="Times New Roman"/>
          <w:color w:val="323232"/>
        </w:rPr>
        <w:t xml:space="preserve"> </w:t>
      </w:r>
      <w:r w:rsidRPr="002D1DAA">
        <w:rPr>
          <w:rFonts w:eastAsia="Times New Roman" w:cs="Times New Roman"/>
          <w:color w:val="323232"/>
          <w:spacing w:val="-1"/>
        </w:rPr>
        <w:t xml:space="preserve">pipeline will </w:t>
      </w:r>
      <w:r w:rsidRPr="002D1DAA">
        <w:rPr>
          <w:rFonts w:eastAsia="Times New Roman" w:cs="Times New Roman"/>
          <w:color w:val="323232"/>
        </w:rPr>
        <w:t>not</w:t>
      </w:r>
      <w:r w:rsidRPr="002D1DAA">
        <w:rPr>
          <w:rFonts w:eastAsia="Times New Roman" w:cs="Times New Roman"/>
          <w:color w:val="323232"/>
          <w:spacing w:val="-2"/>
        </w:rPr>
        <w:t xml:space="preserve"> </w:t>
      </w:r>
      <w:r w:rsidRPr="002D1DAA">
        <w:rPr>
          <w:rFonts w:eastAsia="Times New Roman" w:cs="Times New Roman"/>
          <w:color w:val="323232"/>
        </w:rPr>
        <w:t>be</w:t>
      </w:r>
      <w:r w:rsidRPr="002D1DAA">
        <w:rPr>
          <w:rFonts w:eastAsia="Times New Roman" w:cs="Times New Roman"/>
          <w:color w:val="323232"/>
          <w:spacing w:val="-1"/>
        </w:rPr>
        <w:t xml:space="preserve"> damaged </w:t>
      </w:r>
      <w:r w:rsidRPr="002D1DAA">
        <w:rPr>
          <w:rFonts w:eastAsia="Times New Roman" w:cs="Times New Roman"/>
          <w:color w:val="323232"/>
        </w:rPr>
        <w:t>by</w:t>
      </w:r>
      <w:r w:rsidRPr="002D1DAA">
        <w:rPr>
          <w:rFonts w:eastAsia="Times New Roman" w:cs="Times New Roman"/>
          <w:color w:val="323232"/>
          <w:spacing w:val="-1"/>
        </w:rPr>
        <w:t xml:space="preserve"> any excessive forces during the pulling process</w:t>
      </w:r>
    </w:p>
  </w:footnote>
  <w:footnote w:id="7">
    <w:p w:rsidR="00547685" w:rsidRDefault="00547685" w:rsidP="0045212E">
      <w:pPr>
        <w:pStyle w:val="FootnoteText"/>
        <w:jc w:val="both"/>
      </w:pPr>
      <w:r>
        <w:rPr>
          <w:rStyle w:val="FootnoteReference"/>
        </w:rPr>
        <w:footnoteRef/>
      </w:r>
      <w:r>
        <w:t xml:space="preserve"> A</w:t>
      </w:r>
      <w:r>
        <w:rPr>
          <w:spacing w:val="-1"/>
        </w:rPr>
        <w:t xml:space="preserve"> copy</w:t>
      </w:r>
      <w:r>
        <w:rPr>
          <w:spacing w:val="42"/>
        </w:rPr>
        <w:t xml:space="preserve"> </w:t>
      </w:r>
      <w:r>
        <w:t xml:space="preserve">of the NOPV and Report are attached to the </w:t>
      </w:r>
      <w:r w:rsidR="007304D8">
        <w:t xml:space="preserve">Proposed </w:t>
      </w:r>
      <w:r>
        <w:t>Consent Agreement (defined below).</w:t>
      </w:r>
    </w:p>
  </w:footnote>
  <w:footnote w:id="8">
    <w:p w:rsidR="00547685" w:rsidRDefault="00547685" w:rsidP="0045212E">
      <w:pPr>
        <w:pStyle w:val="FootnoteText"/>
        <w:jc w:val="both"/>
      </w:pPr>
      <w:r>
        <w:rPr>
          <w:rStyle w:val="FootnoteReference"/>
        </w:rPr>
        <w:footnoteRef/>
      </w:r>
      <w:r>
        <w:t xml:space="preserve"> </w:t>
      </w:r>
      <w:r w:rsidRPr="00BA66C7">
        <w:rPr>
          <w:rFonts w:eastAsia="Calibri" w:cs="Times New Roman"/>
          <w:szCs w:val="24"/>
        </w:rPr>
        <w:t xml:space="preserve">Both Staff and </w:t>
      </w:r>
      <w:r>
        <w:rPr>
          <w:rFonts w:eastAsia="Calibri" w:cs="Times New Roman"/>
          <w:szCs w:val="24"/>
        </w:rPr>
        <w:t>Peninsula</w:t>
      </w:r>
      <w:r w:rsidRPr="00BA66C7">
        <w:rPr>
          <w:rFonts w:eastAsia="Calibri" w:cs="Times New Roman"/>
          <w:szCs w:val="24"/>
        </w:rPr>
        <w:t xml:space="preserve"> agree that the Proposed Consent Agreement is subject to the Commiss</w:t>
      </w:r>
      <w:r>
        <w:rPr>
          <w:rFonts w:eastAsia="Calibri" w:cs="Times New Roman"/>
          <w:szCs w:val="24"/>
        </w:rPr>
        <w:t>ion’s review and final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85" w:rsidRPr="00DF177F" w:rsidRDefault="00547685" w:rsidP="00AA0CDC">
    <w:pPr>
      <w:widowControl w:val="0"/>
      <w:rPr>
        <w:rFonts w:eastAsia="Times New Roman" w:cs="Times New Roman"/>
        <w:snapToGrid w:val="0"/>
        <w:szCs w:val="24"/>
      </w:rPr>
    </w:pPr>
    <w:r w:rsidRPr="00DF177F">
      <w:rPr>
        <w:rFonts w:eastAsia="Times New Roman" w:cs="Times New Roman"/>
        <w:snapToGrid w:val="0"/>
        <w:szCs w:val="24"/>
      </w:rPr>
      <w:t xml:space="preserve">PSC Docket No. 20-0166, Order No. </w:t>
    </w:r>
    <w:r w:rsidR="00DF177F">
      <w:rPr>
        <w:rFonts w:eastAsia="Times New Roman" w:cs="Times New Roman"/>
        <w:snapToGrid w:val="0"/>
        <w:szCs w:val="24"/>
      </w:rPr>
      <w:t>9562</w:t>
    </w:r>
    <w:r w:rsidRPr="00DF177F">
      <w:rPr>
        <w:rFonts w:eastAsia="Times New Roman" w:cs="Times New Roman"/>
        <w:snapToGrid w:val="0"/>
        <w:szCs w:val="24"/>
      </w:rPr>
      <w:t xml:space="preserve"> Cont’d</w:t>
    </w:r>
  </w:p>
  <w:p w:rsidR="00547685" w:rsidRDefault="005476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61"/>
    <w:rsid w:val="00001E08"/>
    <w:rsid w:val="00031A81"/>
    <w:rsid w:val="00032FBB"/>
    <w:rsid w:val="0003342B"/>
    <w:rsid w:val="00042D7F"/>
    <w:rsid w:val="00053F3E"/>
    <w:rsid w:val="0007023C"/>
    <w:rsid w:val="00083809"/>
    <w:rsid w:val="000B0D45"/>
    <w:rsid w:val="000B2FD0"/>
    <w:rsid w:val="001055F8"/>
    <w:rsid w:val="00107C1E"/>
    <w:rsid w:val="001325E8"/>
    <w:rsid w:val="001507F6"/>
    <w:rsid w:val="001805CD"/>
    <w:rsid w:val="001873D2"/>
    <w:rsid w:val="001F6151"/>
    <w:rsid w:val="00213B38"/>
    <w:rsid w:val="002169CB"/>
    <w:rsid w:val="002843D2"/>
    <w:rsid w:val="002E39EA"/>
    <w:rsid w:val="00364EF7"/>
    <w:rsid w:val="00367853"/>
    <w:rsid w:val="00410B86"/>
    <w:rsid w:val="004328A8"/>
    <w:rsid w:val="0045212E"/>
    <w:rsid w:val="00457A0F"/>
    <w:rsid w:val="00473E51"/>
    <w:rsid w:val="0048277D"/>
    <w:rsid w:val="004A432D"/>
    <w:rsid w:val="004B48A3"/>
    <w:rsid w:val="005003D7"/>
    <w:rsid w:val="0054160D"/>
    <w:rsid w:val="00547685"/>
    <w:rsid w:val="005624C5"/>
    <w:rsid w:val="00574F94"/>
    <w:rsid w:val="00596A66"/>
    <w:rsid w:val="005A4120"/>
    <w:rsid w:val="005B57BE"/>
    <w:rsid w:val="005F5D8C"/>
    <w:rsid w:val="006437FA"/>
    <w:rsid w:val="006730AF"/>
    <w:rsid w:val="006865A3"/>
    <w:rsid w:val="006A4DC5"/>
    <w:rsid w:val="006A5FA6"/>
    <w:rsid w:val="00704F55"/>
    <w:rsid w:val="007064E4"/>
    <w:rsid w:val="00720F83"/>
    <w:rsid w:val="007304D8"/>
    <w:rsid w:val="00731361"/>
    <w:rsid w:val="00736217"/>
    <w:rsid w:val="00765B68"/>
    <w:rsid w:val="00776933"/>
    <w:rsid w:val="007A7CCB"/>
    <w:rsid w:val="007B27C6"/>
    <w:rsid w:val="007B7C0D"/>
    <w:rsid w:val="007B7C22"/>
    <w:rsid w:val="007C0249"/>
    <w:rsid w:val="00814BB4"/>
    <w:rsid w:val="00861231"/>
    <w:rsid w:val="00897A4E"/>
    <w:rsid w:val="008A0352"/>
    <w:rsid w:val="008A4014"/>
    <w:rsid w:val="008C52DD"/>
    <w:rsid w:val="008E202F"/>
    <w:rsid w:val="00913DE9"/>
    <w:rsid w:val="00933263"/>
    <w:rsid w:val="009526A3"/>
    <w:rsid w:val="0096035A"/>
    <w:rsid w:val="00960B9C"/>
    <w:rsid w:val="009714D8"/>
    <w:rsid w:val="009F779D"/>
    <w:rsid w:val="00A1554A"/>
    <w:rsid w:val="00A274A2"/>
    <w:rsid w:val="00A861E7"/>
    <w:rsid w:val="00A90590"/>
    <w:rsid w:val="00AA0CDC"/>
    <w:rsid w:val="00AC69CB"/>
    <w:rsid w:val="00AE00E3"/>
    <w:rsid w:val="00AE4A7D"/>
    <w:rsid w:val="00B11100"/>
    <w:rsid w:val="00B260B7"/>
    <w:rsid w:val="00B47D79"/>
    <w:rsid w:val="00B516D3"/>
    <w:rsid w:val="00BA66C7"/>
    <w:rsid w:val="00BB2C98"/>
    <w:rsid w:val="00BC0361"/>
    <w:rsid w:val="00BE1618"/>
    <w:rsid w:val="00C408DB"/>
    <w:rsid w:val="00C45906"/>
    <w:rsid w:val="00C52D4B"/>
    <w:rsid w:val="00C56172"/>
    <w:rsid w:val="00C84CE1"/>
    <w:rsid w:val="00C859DA"/>
    <w:rsid w:val="00C87170"/>
    <w:rsid w:val="00CA3A6C"/>
    <w:rsid w:val="00CA47C3"/>
    <w:rsid w:val="00CC548F"/>
    <w:rsid w:val="00CD7C7A"/>
    <w:rsid w:val="00D048DC"/>
    <w:rsid w:val="00D319BA"/>
    <w:rsid w:val="00D50171"/>
    <w:rsid w:val="00DD0625"/>
    <w:rsid w:val="00DD18E3"/>
    <w:rsid w:val="00DF177F"/>
    <w:rsid w:val="00E128DE"/>
    <w:rsid w:val="00E27B1D"/>
    <w:rsid w:val="00E81DC3"/>
    <w:rsid w:val="00E92D19"/>
    <w:rsid w:val="00EA01B7"/>
    <w:rsid w:val="00EB658B"/>
    <w:rsid w:val="00ED2E88"/>
    <w:rsid w:val="00F31C71"/>
    <w:rsid w:val="00F3678F"/>
    <w:rsid w:val="00F72E37"/>
    <w:rsid w:val="00FC5B7A"/>
    <w:rsid w:val="00FC6F37"/>
    <w:rsid w:val="00FE2FA0"/>
    <w:rsid w:val="00FE6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F867E0-1053-42A5-B625-20A8CB9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DC5"/>
  </w:style>
  <w:style w:type="paragraph" w:styleId="Heading1">
    <w:name w:val="heading 1"/>
    <w:basedOn w:val="Normal"/>
    <w:next w:val="Normal"/>
    <w:link w:val="Heading1Char"/>
    <w:uiPriority w:val="9"/>
    <w:qFormat/>
    <w:rsid w:val="006A4DC5"/>
    <w:pPr>
      <w:keepNext/>
      <w:keepLines/>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FootnoteText">
    <w:name w:val="footnote text"/>
    <w:basedOn w:val="Normal"/>
    <w:link w:val="FootnoteTextChar"/>
    <w:uiPriority w:val="99"/>
    <w:unhideWhenUsed/>
    <w:rsid w:val="00731361"/>
    <w:rPr>
      <w:sz w:val="20"/>
      <w:szCs w:val="20"/>
    </w:rPr>
  </w:style>
  <w:style w:type="character" w:customStyle="1" w:styleId="FootnoteTextChar">
    <w:name w:val="Footnote Text Char"/>
    <w:basedOn w:val="DefaultParagraphFont"/>
    <w:link w:val="FootnoteText"/>
    <w:uiPriority w:val="99"/>
    <w:rsid w:val="00731361"/>
    <w:rPr>
      <w:sz w:val="20"/>
      <w:szCs w:val="20"/>
    </w:rPr>
  </w:style>
  <w:style w:type="paragraph" w:styleId="Footer">
    <w:name w:val="footer"/>
    <w:basedOn w:val="Normal"/>
    <w:link w:val="FooterChar"/>
    <w:uiPriority w:val="99"/>
    <w:unhideWhenUsed/>
    <w:rsid w:val="00731361"/>
    <w:pPr>
      <w:tabs>
        <w:tab w:val="center" w:pos="4680"/>
        <w:tab w:val="right" w:pos="9360"/>
      </w:tabs>
    </w:pPr>
  </w:style>
  <w:style w:type="character" w:customStyle="1" w:styleId="FooterChar">
    <w:name w:val="Footer Char"/>
    <w:basedOn w:val="DefaultParagraphFont"/>
    <w:link w:val="Footer"/>
    <w:uiPriority w:val="99"/>
    <w:rsid w:val="00731361"/>
  </w:style>
  <w:style w:type="paragraph" w:styleId="Header">
    <w:name w:val="header"/>
    <w:basedOn w:val="Normal"/>
    <w:link w:val="HeaderChar"/>
    <w:uiPriority w:val="99"/>
    <w:unhideWhenUsed/>
    <w:rsid w:val="00731361"/>
    <w:pPr>
      <w:tabs>
        <w:tab w:val="center" w:pos="4680"/>
        <w:tab w:val="right" w:pos="9360"/>
      </w:tabs>
    </w:pPr>
  </w:style>
  <w:style w:type="character" w:customStyle="1" w:styleId="HeaderChar">
    <w:name w:val="Header Char"/>
    <w:basedOn w:val="DefaultParagraphFont"/>
    <w:link w:val="Header"/>
    <w:uiPriority w:val="99"/>
    <w:rsid w:val="00731361"/>
  </w:style>
  <w:style w:type="character" w:styleId="FootnoteReference">
    <w:name w:val="footnote reference"/>
    <w:uiPriority w:val="99"/>
    <w:unhideWhenUsed/>
    <w:rsid w:val="00731361"/>
    <w:rPr>
      <w:vertAlign w:val="superscript"/>
    </w:rPr>
  </w:style>
  <w:style w:type="paragraph" w:styleId="BodyText">
    <w:name w:val="Body Text"/>
    <w:basedOn w:val="Normal"/>
    <w:link w:val="BodyTextChar"/>
    <w:uiPriority w:val="1"/>
    <w:qFormat/>
    <w:rsid w:val="00D319BA"/>
    <w:pPr>
      <w:widowControl w:val="0"/>
      <w:ind w:left="120" w:firstLine="720"/>
    </w:pPr>
    <w:rPr>
      <w:rFonts w:eastAsia="Times New Roman"/>
      <w:szCs w:val="24"/>
    </w:rPr>
  </w:style>
  <w:style w:type="character" w:customStyle="1" w:styleId="BodyTextChar">
    <w:name w:val="Body Text Char"/>
    <w:basedOn w:val="DefaultParagraphFont"/>
    <w:link w:val="BodyText"/>
    <w:uiPriority w:val="1"/>
    <w:rsid w:val="00D319BA"/>
    <w:rPr>
      <w:rFonts w:eastAsia="Times New Roman"/>
      <w:szCs w:val="24"/>
    </w:rPr>
  </w:style>
  <w:style w:type="paragraph" w:styleId="BalloonText">
    <w:name w:val="Balloon Text"/>
    <w:basedOn w:val="Normal"/>
    <w:link w:val="BalloonTextChar"/>
    <w:uiPriority w:val="99"/>
    <w:semiHidden/>
    <w:unhideWhenUsed/>
    <w:rsid w:val="00CA47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7C3"/>
    <w:rPr>
      <w:rFonts w:ascii="Segoe UI" w:hAnsi="Segoe UI" w:cs="Segoe UI"/>
      <w:sz w:val="18"/>
      <w:szCs w:val="18"/>
    </w:rPr>
  </w:style>
  <w:style w:type="character" w:styleId="Hyperlink">
    <w:name w:val="Hyperlink"/>
    <w:basedOn w:val="DefaultParagraphFont"/>
    <w:uiPriority w:val="99"/>
    <w:semiHidden/>
    <w:unhideWhenUsed/>
    <w:rsid w:val="00814BB4"/>
    <w:rPr>
      <w:color w:val="0000FF"/>
      <w:u w:val="single"/>
    </w:rPr>
  </w:style>
  <w:style w:type="character" w:styleId="CommentReference">
    <w:name w:val="annotation reference"/>
    <w:basedOn w:val="DefaultParagraphFont"/>
    <w:uiPriority w:val="99"/>
    <w:semiHidden/>
    <w:unhideWhenUsed/>
    <w:rsid w:val="00CC548F"/>
    <w:rPr>
      <w:sz w:val="16"/>
      <w:szCs w:val="16"/>
    </w:rPr>
  </w:style>
  <w:style w:type="paragraph" w:styleId="CommentText">
    <w:name w:val="annotation text"/>
    <w:basedOn w:val="Normal"/>
    <w:link w:val="CommentTextChar"/>
    <w:uiPriority w:val="99"/>
    <w:semiHidden/>
    <w:unhideWhenUsed/>
    <w:rsid w:val="00CC548F"/>
    <w:rPr>
      <w:sz w:val="20"/>
      <w:szCs w:val="20"/>
    </w:rPr>
  </w:style>
  <w:style w:type="character" w:customStyle="1" w:styleId="CommentTextChar">
    <w:name w:val="Comment Text Char"/>
    <w:basedOn w:val="DefaultParagraphFont"/>
    <w:link w:val="CommentText"/>
    <w:uiPriority w:val="99"/>
    <w:semiHidden/>
    <w:rsid w:val="00CC548F"/>
    <w:rPr>
      <w:sz w:val="20"/>
      <w:szCs w:val="20"/>
    </w:rPr>
  </w:style>
  <w:style w:type="paragraph" w:styleId="CommentSubject">
    <w:name w:val="annotation subject"/>
    <w:basedOn w:val="CommentText"/>
    <w:next w:val="CommentText"/>
    <w:link w:val="CommentSubjectChar"/>
    <w:uiPriority w:val="99"/>
    <w:semiHidden/>
    <w:unhideWhenUsed/>
    <w:rsid w:val="00CC548F"/>
    <w:rPr>
      <w:b/>
      <w:bCs/>
    </w:rPr>
  </w:style>
  <w:style w:type="character" w:customStyle="1" w:styleId="CommentSubjectChar">
    <w:name w:val="Comment Subject Char"/>
    <w:basedOn w:val="CommentTextChar"/>
    <w:link w:val="CommentSubject"/>
    <w:uiPriority w:val="99"/>
    <w:semiHidden/>
    <w:rsid w:val="00CC54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law.cornell.edu/cfr/text/49/192.381" TargetMode="External"/><Relationship Id="rId1" Type="http://schemas.openxmlformats.org/officeDocument/2006/relationships/hyperlink" Target="https://www.law.cornell.edu/cfr/text/49/192.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A8425F-FA53-4FB0-A4C7-08EB4690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935</Words>
  <Characters>5335</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Proposed Final DPL consent Decree Dkt. 19-0563 (01542631).DOCX</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Final DPL consent Decree Dkt. 19-0563 (01542631).DOCX</dc:title>
  <dc:subject>01542631;v1 /font=8</dc:subject>
  <dc:creator>Starzi, Nicole</dc:creator>
  <cp:keywords/>
  <dc:description/>
  <cp:lastModifiedBy>Banks, Tymone (DOS)</cp:lastModifiedBy>
  <cp:revision>6</cp:revision>
  <cp:lastPrinted>2020-03-06T16:57:00Z</cp:lastPrinted>
  <dcterms:created xsi:type="dcterms:W3CDTF">2020-03-04T21:28:00Z</dcterms:created>
  <dcterms:modified xsi:type="dcterms:W3CDTF">2020-03-06T17:03:00Z</dcterms:modified>
</cp:coreProperties>
</file>