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13" w:rsidRPr="00D93097" w:rsidRDefault="00AB0A13" w:rsidP="00EE382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BEFORE THE PUBLIC SERVICE COMMISSION</w:t>
      </w:r>
    </w:p>
    <w:p w:rsidR="00AB0A13" w:rsidRPr="00D93097" w:rsidRDefault="00AB0A13" w:rsidP="00EE382C">
      <w:pPr>
        <w:widowControl/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3097">
        <w:rPr>
          <w:rFonts w:ascii="Times New Roman" w:eastAsia="Calibri" w:hAnsi="Times New Roman" w:cs="Times New Roman"/>
          <w:b/>
          <w:sz w:val="24"/>
          <w:szCs w:val="24"/>
        </w:rPr>
        <w:t>OF THE STATE OF DELAWARE</w:t>
      </w:r>
    </w:p>
    <w:p w:rsidR="00AB0A13" w:rsidRPr="00D93097" w:rsidRDefault="00AB0A13" w:rsidP="000953BA">
      <w:pPr>
        <w:widowControl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360"/>
        <w:gridCol w:w="3150"/>
      </w:tblGrid>
      <w:tr w:rsidR="00186AD5" w:rsidRPr="00D93097" w:rsidTr="005B3A49">
        <w:trPr>
          <w:trHeight w:val="189"/>
        </w:trPr>
        <w:tc>
          <w:tcPr>
            <w:tcW w:w="5305" w:type="dxa"/>
          </w:tcPr>
          <w:p w:rsidR="00E522EB" w:rsidRDefault="00186AD5" w:rsidP="00E56FD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6A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IN THE MATTER OF THE APPLICATION </w:t>
            </w: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OF </w:t>
            </w:r>
            <w:r w:rsidR="00577D05">
              <w:rPr>
                <w:rFonts w:ascii="Times New Roman" w:hAnsi="Times New Roman" w:cs="Times New Roman"/>
                <w:b w:val="0"/>
                <w:sz w:val="24"/>
                <w:szCs w:val="24"/>
              </w:rPr>
              <w:t>GRID ENERGY EXCHANGE LLC</w:t>
            </w: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FOR A</w:t>
            </w:r>
            <w:r w:rsidR="00F956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CERTIFICATE </w:t>
            </w: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>TO PROVIDE ELECTRIC SUPPLY SERVICES WITHIN THE STATE OF DELA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WARE </w:t>
            </w:r>
          </w:p>
          <w:p w:rsidR="00186AD5" w:rsidRPr="00357687" w:rsidRDefault="00186AD5" w:rsidP="00E56FD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76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(SUBMITTED </w:t>
            </w:r>
            <w:r w:rsidR="00577D05">
              <w:rPr>
                <w:rFonts w:ascii="Times New Roman" w:hAnsi="Times New Roman" w:cs="Times New Roman"/>
                <w:b w:val="0"/>
                <w:sz w:val="24"/>
                <w:szCs w:val="24"/>
              </w:rPr>
              <w:t>JANUARY 17, 2020</w:t>
            </w:r>
            <w:r w:rsidRPr="003576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; FILED </w:t>
            </w:r>
            <w:r w:rsidR="00577D05">
              <w:rPr>
                <w:rFonts w:ascii="Times New Roman" w:hAnsi="Times New Roman" w:cs="Times New Roman"/>
                <w:b w:val="0"/>
                <w:sz w:val="24"/>
                <w:szCs w:val="24"/>
              </w:rPr>
              <w:t>FEBRUARY 6, 2020</w:t>
            </w:r>
            <w:r w:rsidRPr="0035768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60" w:type="dxa"/>
          </w:tcPr>
          <w:p w:rsidR="00186AD5" w:rsidRPr="00D93097" w:rsidRDefault="00186AD5" w:rsidP="000953BA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186AD5" w:rsidRPr="00D93097" w:rsidRDefault="00186AD5" w:rsidP="000953BA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186AD5" w:rsidRPr="00D93097" w:rsidRDefault="00186AD5" w:rsidP="000953BA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186AD5" w:rsidRPr="00D93097" w:rsidRDefault="00186AD5" w:rsidP="000953BA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BE52D6" w:rsidRDefault="00186AD5" w:rsidP="000A7AE5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309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E56FD0" w:rsidRDefault="00E56FD0" w:rsidP="000A7AE5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E56FD0" w:rsidRPr="00D93097" w:rsidRDefault="00EE382C" w:rsidP="000A7AE5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186AD5" w:rsidRPr="00D93097" w:rsidRDefault="00186AD5" w:rsidP="000953BA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86AD5" w:rsidRPr="00D93097" w:rsidRDefault="00186AD5" w:rsidP="000953BA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56FD0" w:rsidRDefault="00E56FD0" w:rsidP="00E56FD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86AD5" w:rsidRPr="00D93097" w:rsidRDefault="00186AD5" w:rsidP="00E56FD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PSC DOCKET NO. </w:t>
            </w:r>
            <w:r w:rsidR="00577D05">
              <w:rPr>
                <w:rFonts w:ascii="Times New Roman" w:hAnsi="Times New Roman" w:cs="Times New Roman"/>
                <w:b w:val="0"/>
                <w:sz w:val="24"/>
                <w:szCs w:val="24"/>
              </w:rPr>
              <w:t>20-0067</w:t>
            </w:r>
          </w:p>
        </w:tc>
      </w:tr>
    </w:tbl>
    <w:p w:rsidR="00AB0A13" w:rsidRPr="00D93097" w:rsidRDefault="00AB0A13" w:rsidP="008537D8">
      <w:pPr>
        <w:pStyle w:val="Heading1"/>
        <w:tabs>
          <w:tab w:val="left" w:pos="4680"/>
        </w:tabs>
        <w:spacing w:before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D93097">
        <w:rPr>
          <w:rFonts w:ascii="Times New Roman" w:hAnsi="Times New Roman" w:cs="Times New Roman"/>
          <w:b w:val="0"/>
          <w:sz w:val="24"/>
          <w:szCs w:val="24"/>
        </w:rPr>
        <w:tab/>
        <w:t xml:space="preserve"> </w:t>
      </w:r>
    </w:p>
    <w:p w:rsidR="00AB0A13" w:rsidRPr="00D93097" w:rsidRDefault="00C04A0C" w:rsidP="00852C37">
      <w:pPr>
        <w:pStyle w:val="Heading1"/>
        <w:tabs>
          <w:tab w:val="center" w:pos="4320"/>
          <w:tab w:val="left" w:pos="5797"/>
        </w:tabs>
        <w:spacing w:before="0" w:line="48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3097">
        <w:rPr>
          <w:rFonts w:ascii="Times New Roman" w:hAnsi="Times New Roman" w:cs="Times New Roman"/>
          <w:sz w:val="24"/>
          <w:szCs w:val="24"/>
        </w:rPr>
        <w:tab/>
      </w:r>
      <w:r w:rsidR="00AB0A13" w:rsidRPr="00D93097">
        <w:rPr>
          <w:rFonts w:ascii="Times New Roman" w:hAnsi="Times New Roman" w:cs="Times New Roman"/>
          <w:sz w:val="24"/>
          <w:szCs w:val="24"/>
        </w:rPr>
        <w:t>ORDER NO.</w:t>
      </w:r>
      <w:r w:rsidR="00EE382C">
        <w:rPr>
          <w:rFonts w:ascii="Times New Roman" w:hAnsi="Times New Roman" w:cs="Times New Roman"/>
          <w:sz w:val="24"/>
          <w:szCs w:val="24"/>
        </w:rPr>
        <w:t xml:space="preserve"> </w:t>
      </w:r>
      <w:r w:rsidR="00AB0A13" w:rsidRPr="00D93097">
        <w:rPr>
          <w:rFonts w:ascii="Times New Roman" w:hAnsi="Times New Roman" w:cs="Times New Roman"/>
          <w:sz w:val="24"/>
          <w:szCs w:val="24"/>
        </w:rPr>
        <w:t xml:space="preserve"> </w:t>
      </w:r>
      <w:r w:rsidR="00EE382C">
        <w:rPr>
          <w:rFonts w:ascii="Times New Roman" w:hAnsi="Times New Roman" w:cs="Times New Roman"/>
          <w:sz w:val="24"/>
          <w:szCs w:val="24"/>
          <w:u w:val="single"/>
        </w:rPr>
        <w:t>9561</w:t>
      </w:r>
    </w:p>
    <w:p w:rsidR="00AB0A13" w:rsidRPr="00D93097" w:rsidRDefault="00556D80" w:rsidP="008C2C8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UELECTRIC_SUPPLIER_CERTIFICATE"/>
      <w:bookmarkEnd w:id="0"/>
      <w:r w:rsidRPr="00556D80">
        <w:rPr>
          <w:rFonts w:ascii="Times New Roman" w:hAnsi="Times New Roman" w:cs="Times New Roman"/>
          <w:b/>
          <w:sz w:val="24"/>
          <w:szCs w:val="24"/>
        </w:rPr>
        <w:t>AND NOW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A259F2" w:rsidRPr="00D93097">
        <w:rPr>
          <w:rFonts w:ascii="Times New Roman" w:hAnsi="Times New Roman" w:cs="Times New Roman"/>
          <w:sz w:val="24"/>
          <w:szCs w:val="24"/>
        </w:rPr>
        <w:t>his</w:t>
      </w:r>
      <w:r w:rsidR="00BA4424" w:rsidRPr="00D93097">
        <w:rPr>
          <w:rFonts w:ascii="Times New Roman" w:hAnsi="Times New Roman" w:cs="Times New Roman"/>
          <w:sz w:val="24"/>
          <w:szCs w:val="24"/>
        </w:rPr>
        <w:t xml:space="preserve"> </w:t>
      </w:r>
      <w:r w:rsidR="00577D05">
        <w:rPr>
          <w:rFonts w:ascii="Times New Roman" w:hAnsi="Times New Roman" w:cs="Times New Roman"/>
          <w:sz w:val="24"/>
          <w:szCs w:val="24"/>
        </w:rPr>
        <w:t>18</w:t>
      </w:r>
      <w:r w:rsidRPr="00556D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A13" w:rsidRPr="00D93097">
        <w:rPr>
          <w:rFonts w:ascii="Times New Roman" w:hAnsi="Times New Roman" w:cs="Times New Roman"/>
          <w:sz w:val="24"/>
          <w:szCs w:val="24"/>
        </w:rPr>
        <w:t xml:space="preserve">day of </w:t>
      </w:r>
      <w:r w:rsidR="00577D05">
        <w:rPr>
          <w:rFonts w:ascii="Times New Roman" w:hAnsi="Times New Roman" w:cs="Times New Roman"/>
          <w:sz w:val="24"/>
          <w:szCs w:val="24"/>
        </w:rPr>
        <w:t>March</w:t>
      </w:r>
      <w:r w:rsidR="00EE6DC6">
        <w:rPr>
          <w:rFonts w:ascii="Times New Roman" w:hAnsi="Times New Roman" w:cs="Times New Roman"/>
          <w:sz w:val="24"/>
          <w:szCs w:val="24"/>
        </w:rPr>
        <w:t xml:space="preserve"> </w:t>
      </w:r>
      <w:r w:rsidR="008537D8" w:rsidRPr="00D93097">
        <w:rPr>
          <w:rFonts w:ascii="Times New Roman" w:hAnsi="Times New Roman" w:cs="Times New Roman"/>
          <w:sz w:val="24"/>
          <w:szCs w:val="24"/>
        </w:rPr>
        <w:t>20</w:t>
      </w:r>
      <w:r w:rsidR="00F37FBC">
        <w:rPr>
          <w:rFonts w:ascii="Times New Roman" w:hAnsi="Times New Roman" w:cs="Times New Roman"/>
          <w:sz w:val="24"/>
          <w:szCs w:val="24"/>
        </w:rPr>
        <w:t>20</w:t>
      </w:r>
      <w:r w:rsidR="00EA367D" w:rsidRPr="00D93097">
        <w:rPr>
          <w:rFonts w:ascii="Times New Roman" w:hAnsi="Times New Roman" w:cs="Times New Roman"/>
          <w:sz w:val="24"/>
          <w:szCs w:val="24"/>
        </w:rPr>
        <w:t>,</w:t>
      </w:r>
      <w:r w:rsidR="00AB0A13" w:rsidRPr="00D93097">
        <w:rPr>
          <w:rFonts w:ascii="Times New Roman" w:hAnsi="Times New Roman" w:cs="Times New Roman"/>
          <w:sz w:val="24"/>
          <w:szCs w:val="24"/>
        </w:rPr>
        <w:t xml:space="preserve"> the </w:t>
      </w:r>
      <w:r w:rsidR="00EA367D" w:rsidRPr="00D93097">
        <w:rPr>
          <w:rFonts w:ascii="Times New Roman" w:hAnsi="Times New Roman" w:cs="Times New Roman"/>
          <w:sz w:val="24"/>
          <w:szCs w:val="24"/>
        </w:rPr>
        <w:t xml:space="preserve">Delaware </w:t>
      </w:r>
      <w:r w:rsidR="00AB0A13" w:rsidRPr="00D93097">
        <w:rPr>
          <w:rFonts w:ascii="Times New Roman" w:hAnsi="Times New Roman" w:cs="Times New Roman"/>
          <w:sz w:val="24"/>
          <w:szCs w:val="24"/>
        </w:rPr>
        <w:t>Public Service Commission (“Commission”) determines and orders the following:</w:t>
      </w:r>
    </w:p>
    <w:p w:rsidR="00E56FD0" w:rsidRDefault="00AB0A13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09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D93097">
        <w:rPr>
          <w:rFonts w:ascii="Times New Roman" w:hAnsi="Times New Roman" w:cs="Times New Roman"/>
          <w:sz w:val="24"/>
          <w:szCs w:val="24"/>
        </w:rPr>
        <w:t xml:space="preserve">, on </w:t>
      </w:r>
      <w:r w:rsidR="00577D05">
        <w:rPr>
          <w:rFonts w:ascii="Times New Roman" w:hAnsi="Times New Roman" w:cs="Times New Roman"/>
          <w:sz w:val="24"/>
          <w:szCs w:val="24"/>
        </w:rPr>
        <w:t xml:space="preserve">January </w:t>
      </w:r>
      <w:r w:rsidR="00E54945">
        <w:rPr>
          <w:rFonts w:ascii="Times New Roman" w:hAnsi="Times New Roman" w:cs="Times New Roman"/>
          <w:sz w:val="24"/>
          <w:szCs w:val="24"/>
        </w:rPr>
        <w:t>17</w:t>
      </w:r>
      <w:r w:rsidR="00577D05">
        <w:rPr>
          <w:rFonts w:ascii="Times New Roman" w:hAnsi="Times New Roman" w:cs="Times New Roman"/>
          <w:sz w:val="24"/>
          <w:szCs w:val="24"/>
        </w:rPr>
        <w:t>, 2020</w:t>
      </w:r>
      <w:r w:rsidRPr="00D93097">
        <w:rPr>
          <w:rFonts w:ascii="Times New Roman" w:hAnsi="Times New Roman" w:cs="Times New Roman"/>
          <w:sz w:val="24"/>
          <w:szCs w:val="24"/>
        </w:rPr>
        <w:t xml:space="preserve">, </w:t>
      </w:r>
      <w:r w:rsidR="00577D05">
        <w:rPr>
          <w:rFonts w:ascii="Times New Roman" w:hAnsi="Times New Roman" w:cs="Times New Roman"/>
          <w:sz w:val="24"/>
          <w:szCs w:val="24"/>
        </w:rPr>
        <w:t>Grid Energy Exchange LLC</w:t>
      </w:r>
      <w:r w:rsidR="00E56FD0" w:rsidRPr="00E56FD0">
        <w:rPr>
          <w:rFonts w:ascii="Times New Roman" w:hAnsi="Times New Roman" w:cs="Times New Roman"/>
          <w:sz w:val="24"/>
          <w:szCs w:val="24"/>
        </w:rPr>
        <w:t xml:space="preserve"> (</w:t>
      </w:r>
      <w:r w:rsidR="00FF21FD" w:rsidRPr="00D93097">
        <w:rPr>
          <w:rFonts w:ascii="Times New Roman" w:hAnsi="Times New Roman" w:cs="Times New Roman"/>
          <w:sz w:val="24"/>
          <w:szCs w:val="24"/>
        </w:rPr>
        <w:t xml:space="preserve">the </w:t>
      </w:r>
      <w:r w:rsidR="00DA6703" w:rsidRPr="00D93097">
        <w:rPr>
          <w:rFonts w:ascii="Times New Roman" w:hAnsi="Times New Roman" w:cs="Times New Roman"/>
          <w:sz w:val="24"/>
          <w:szCs w:val="24"/>
        </w:rPr>
        <w:t>“</w:t>
      </w:r>
      <w:r w:rsidR="00FF21FD" w:rsidRPr="00D93097">
        <w:rPr>
          <w:rFonts w:ascii="Times New Roman" w:hAnsi="Times New Roman" w:cs="Times New Roman"/>
          <w:sz w:val="24"/>
          <w:szCs w:val="24"/>
        </w:rPr>
        <w:t>Company</w:t>
      </w:r>
      <w:r w:rsidRPr="00D93097">
        <w:rPr>
          <w:rFonts w:ascii="Times New Roman" w:hAnsi="Times New Roman" w:cs="Times New Roman"/>
          <w:sz w:val="24"/>
          <w:szCs w:val="24"/>
        </w:rPr>
        <w:t xml:space="preserve">”) submitted </w:t>
      </w:r>
      <w:r w:rsidR="008E00DB" w:rsidRPr="00D93097">
        <w:rPr>
          <w:rFonts w:ascii="Times New Roman" w:hAnsi="Times New Roman" w:cs="Times New Roman"/>
          <w:sz w:val="24"/>
          <w:szCs w:val="24"/>
        </w:rPr>
        <w:t xml:space="preserve">to the Commission </w:t>
      </w:r>
      <w:r w:rsidRPr="00D93097">
        <w:rPr>
          <w:rFonts w:ascii="Times New Roman" w:hAnsi="Times New Roman" w:cs="Times New Roman"/>
          <w:sz w:val="24"/>
          <w:szCs w:val="24"/>
        </w:rPr>
        <w:t xml:space="preserve">an </w:t>
      </w:r>
      <w:r w:rsidR="00E56FD0">
        <w:rPr>
          <w:rFonts w:ascii="Times New Roman" w:hAnsi="Times New Roman" w:cs="Times New Roman"/>
          <w:sz w:val="24"/>
          <w:szCs w:val="24"/>
        </w:rPr>
        <w:t>a</w:t>
      </w:r>
      <w:r w:rsidRPr="00D93097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E56FD0" w:rsidRPr="00E56FD0">
        <w:rPr>
          <w:rFonts w:ascii="Times New Roman" w:hAnsi="Times New Roman" w:cs="Times New Roman"/>
          <w:sz w:val="24"/>
          <w:szCs w:val="24"/>
        </w:rPr>
        <w:t xml:space="preserve">for an Electric Supplier Certificate (“ESC”) to </w:t>
      </w:r>
      <w:r w:rsidR="00B02E3A">
        <w:rPr>
          <w:rFonts w:ascii="Times New Roman" w:hAnsi="Times New Roman" w:cs="Times New Roman"/>
          <w:sz w:val="24"/>
          <w:szCs w:val="24"/>
        </w:rPr>
        <w:t>broker</w:t>
      </w:r>
      <w:r w:rsidR="00E56FD0" w:rsidRPr="00E56FD0">
        <w:rPr>
          <w:rFonts w:ascii="Times New Roman" w:hAnsi="Times New Roman" w:cs="Times New Roman"/>
          <w:sz w:val="24"/>
          <w:szCs w:val="24"/>
        </w:rPr>
        <w:t xml:space="preserve"> electricity in the State of Delaware </w:t>
      </w:r>
      <w:r w:rsidRPr="00D93097">
        <w:rPr>
          <w:rFonts w:ascii="Times New Roman" w:hAnsi="Times New Roman" w:cs="Times New Roman"/>
          <w:sz w:val="24"/>
          <w:szCs w:val="24"/>
        </w:rPr>
        <w:t xml:space="preserve">pursuant 26 </w:t>
      </w:r>
      <w:r w:rsidRPr="00D93097">
        <w:rPr>
          <w:rFonts w:ascii="Times New Roman" w:hAnsi="Times New Roman" w:cs="Times New Roman"/>
          <w:i/>
          <w:sz w:val="24"/>
          <w:szCs w:val="24"/>
        </w:rPr>
        <w:t>Del. C</w:t>
      </w:r>
      <w:r w:rsidRPr="00D93097">
        <w:rPr>
          <w:rFonts w:ascii="Times New Roman" w:hAnsi="Times New Roman" w:cs="Times New Roman"/>
          <w:sz w:val="24"/>
          <w:szCs w:val="24"/>
        </w:rPr>
        <w:t>. §</w:t>
      </w:r>
      <w:r w:rsidR="00556D80">
        <w:rPr>
          <w:rFonts w:ascii="Times New Roman" w:hAnsi="Times New Roman" w:cs="Times New Roman"/>
          <w:sz w:val="24"/>
          <w:szCs w:val="24"/>
        </w:rPr>
        <w:t xml:space="preserve">§ </w:t>
      </w:r>
      <w:r w:rsidRPr="00D93097">
        <w:rPr>
          <w:rFonts w:ascii="Times New Roman" w:hAnsi="Times New Roman" w:cs="Times New Roman"/>
          <w:sz w:val="24"/>
          <w:szCs w:val="24"/>
        </w:rPr>
        <w:t>1001-1020, the Electric Utility Restructuring Act (the “Act”)</w:t>
      </w:r>
      <w:r w:rsidR="00DF6C42" w:rsidRPr="00D93097">
        <w:rPr>
          <w:rFonts w:ascii="Times New Roman" w:hAnsi="Times New Roman" w:cs="Times New Roman"/>
          <w:sz w:val="24"/>
          <w:szCs w:val="24"/>
        </w:rPr>
        <w:t>,</w:t>
      </w:r>
      <w:r w:rsidR="00DF6C42" w:rsidRPr="00D9309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93097">
        <w:rPr>
          <w:rFonts w:ascii="Times New Roman" w:hAnsi="Times New Roman" w:cs="Times New Roman"/>
          <w:sz w:val="24"/>
          <w:szCs w:val="24"/>
        </w:rPr>
        <w:t xml:space="preserve"> and 26 </w:t>
      </w:r>
      <w:r w:rsidRPr="00D93097">
        <w:rPr>
          <w:rFonts w:ascii="Times New Roman" w:hAnsi="Times New Roman" w:cs="Times New Roman"/>
          <w:i/>
          <w:sz w:val="24"/>
          <w:szCs w:val="24"/>
        </w:rPr>
        <w:t>Del. Admin. C</w:t>
      </w:r>
      <w:r w:rsidRPr="00D93097">
        <w:rPr>
          <w:rFonts w:ascii="Times New Roman" w:hAnsi="Times New Roman" w:cs="Times New Roman"/>
          <w:sz w:val="24"/>
          <w:szCs w:val="24"/>
        </w:rPr>
        <w:t>. §</w:t>
      </w:r>
      <w:r w:rsidR="00556D80">
        <w:rPr>
          <w:rFonts w:ascii="Times New Roman" w:hAnsi="Times New Roman" w:cs="Times New Roman"/>
          <w:sz w:val="24"/>
          <w:szCs w:val="24"/>
        </w:rPr>
        <w:t xml:space="preserve"> </w:t>
      </w:r>
      <w:r w:rsidRPr="00D93097">
        <w:rPr>
          <w:rFonts w:ascii="Times New Roman" w:hAnsi="Times New Roman" w:cs="Times New Roman"/>
          <w:sz w:val="24"/>
          <w:szCs w:val="24"/>
        </w:rPr>
        <w:t xml:space="preserve">3001, the Commission’s Rules for Certification and Regulation of Electric Suppliers (the “Supplier </w:t>
      </w:r>
      <w:r w:rsidR="008E00DB" w:rsidRPr="00D93097">
        <w:rPr>
          <w:rFonts w:ascii="Times New Roman" w:hAnsi="Times New Roman" w:cs="Times New Roman"/>
          <w:sz w:val="24"/>
          <w:szCs w:val="24"/>
        </w:rPr>
        <w:t>Rules”)</w:t>
      </w:r>
      <w:r w:rsidR="00E56FD0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6233F1" w:rsidRDefault="00E56FD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6FD0">
        <w:rPr>
          <w:rFonts w:ascii="Times New Roman" w:hAnsi="Times New Roman" w:cs="Times New Roman"/>
          <w:b/>
          <w:sz w:val="24"/>
          <w:szCs w:val="24"/>
        </w:rPr>
        <w:t>WHEREAS</w:t>
      </w:r>
      <w:r w:rsidRPr="00E56F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E59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pplication was deficient in meeting the </w:t>
      </w:r>
      <w:r w:rsidRPr="00E56FD0">
        <w:rPr>
          <w:rFonts w:ascii="Times New Roman" w:hAnsi="Times New Roman" w:cs="Times New Roman"/>
          <w:sz w:val="24"/>
          <w:szCs w:val="24"/>
        </w:rPr>
        <w:t>minimum filing requirements (“MFRs”)</w:t>
      </w:r>
      <w:r>
        <w:rPr>
          <w:rFonts w:ascii="Times New Roman" w:hAnsi="Times New Roman" w:cs="Times New Roman"/>
          <w:sz w:val="24"/>
          <w:szCs w:val="24"/>
        </w:rPr>
        <w:t xml:space="preserve">; therefore, </w:t>
      </w:r>
      <w:r w:rsidR="00AE5973" w:rsidRPr="00AE5973">
        <w:rPr>
          <w:rFonts w:ascii="Times New Roman" w:hAnsi="Times New Roman" w:cs="Times New Roman"/>
          <w:sz w:val="24"/>
          <w:szCs w:val="24"/>
        </w:rPr>
        <w:t>Commission</w:t>
      </w:r>
      <w:r w:rsidR="00AE5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AE5973">
        <w:rPr>
          <w:rFonts w:ascii="Times New Roman" w:hAnsi="Times New Roman" w:cs="Times New Roman"/>
          <w:sz w:val="24"/>
          <w:szCs w:val="24"/>
        </w:rPr>
        <w:t xml:space="preserve">(“Staff”) </w:t>
      </w:r>
      <w:r>
        <w:rPr>
          <w:rFonts w:ascii="Times New Roman" w:hAnsi="Times New Roman" w:cs="Times New Roman"/>
          <w:sz w:val="24"/>
          <w:szCs w:val="24"/>
        </w:rPr>
        <w:t xml:space="preserve">sent the Company </w:t>
      </w:r>
      <w:r w:rsidR="00577D05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letter </w:t>
      </w:r>
      <w:r w:rsidR="006233F1">
        <w:rPr>
          <w:rFonts w:ascii="Times New Roman" w:hAnsi="Times New Roman" w:cs="Times New Roman"/>
          <w:sz w:val="24"/>
          <w:szCs w:val="24"/>
        </w:rPr>
        <w:t xml:space="preserve">and engaged in information gathering over the course of </w:t>
      </w:r>
      <w:r w:rsidR="00577D05">
        <w:rPr>
          <w:rFonts w:ascii="Times New Roman" w:hAnsi="Times New Roman" w:cs="Times New Roman"/>
          <w:sz w:val="24"/>
          <w:szCs w:val="24"/>
        </w:rPr>
        <w:t>three weeks</w:t>
      </w:r>
      <w:r w:rsidR="006233F1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A36F9F" w:rsidRPr="00D93097" w:rsidRDefault="006233F1" w:rsidP="00AE5973">
      <w:pPr>
        <w:pStyle w:val="BodyText"/>
        <w:spacing w:line="480" w:lineRule="auto"/>
        <w:ind w:left="0" w:right="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3F1">
        <w:rPr>
          <w:rFonts w:ascii="Times New Roman" w:hAnsi="Times New Roman" w:cs="Times New Roman"/>
          <w:b/>
          <w:sz w:val="24"/>
          <w:szCs w:val="24"/>
        </w:rPr>
        <w:t>WHEREAS</w:t>
      </w:r>
      <w:r w:rsidRPr="006233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973">
        <w:rPr>
          <w:rFonts w:ascii="Times New Roman" w:hAnsi="Times New Roman" w:cs="Times New Roman"/>
          <w:sz w:val="24"/>
          <w:szCs w:val="24"/>
        </w:rPr>
        <w:t xml:space="preserve">on </w:t>
      </w:r>
      <w:r w:rsidR="00577D05">
        <w:rPr>
          <w:rFonts w:ascii="Times New Roman" w:hAnsi="Times New Roman" w:cs="Times New Roman"/>
          <w:sz w:val="24"/>
          <w:szCs w:val="24"/>
        </w:rPr>
        <w:t>February 6, 2020</w:t>
      </w:r>
      <w:r w:rsidR="00AE5973">
        <w:rPr>
          <w:rFonts w:ascii="Times New Roman" w:hAnsi="Times New Roman" w:cs="Times New Roman"/>
          <w:sz w:val="24"/>
          <w:szCs w:val="24"/>
        </w:rPr>
        <w:t>, the Com</w:t>
      </w:r>
      <w:r w:rsidR="00FF21FD" w:rsidRPr="00D93097">
        <w:rPr>
          <w:rFonts w:ascii="Times New Roman" w:eastAsia="Calibri" w:hAnsi="Times New Roman" w:cs="Times New Roman"/>
          <w:sz w:val="24"/>
          <w:szCs w:val="24"/>
        </w:rPr>
        <w:t xml:space="preserve">pany </w:t>
      </w:r>
      <w:r w:rsidR="00A36F9F" w:rsidRPr="00D93097">
        <w:rPr>
          <w:rFonts w:ascii="Times New Roman" w:eastAsia="Calibri" w:hAnsi="Times New Roman" w:cs="Times New Roman"/>
          <w:sz w:val="24"/>
          <w:szCs w:val="24"/>
        </w:rPr>
        <w:t>submitted all required documents and thereby filed a complete application (“Application”) pursuant to the Act and the Supplier Rules; and</w:t>
      </w:r>
    </w:p>
    <w:p w:rsidR="00A942A4" w:rsidRPr="00D93097" w:rsidRDefault="00AB0A13" w:rsidP="00A942A4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097">
        <w:rPr>
          <w:rFonts w:ascii="Times New Roman" w:hAnsi="Times New Roman" w:cs="Times New Roman"/>
          <w:b/>
          <w:sz w:val="24"/>
          <w:szCs w:val="24"/>
        </w:rPr>
        <w:t>WHEREAS</w:t>
      </w:r>
      <w:r w:rsidRPr="00D93097">
        <w:rPr>
          <w:rFonts w:ascii="Times New Roman" w:hAnsi="Times New Roman" w:cs="Times New Roman"/>
          <w:sz w:val="24"/>
          <w:szCs w:val="24"/>
        </w:rPr>
        <w:t xml:space="preserve">, </w:t>
      </w:r>
      <w:r w:rsidR="00A942A4" w:rsidRPr="00D93097">
        <w:rPr>
          <w:rFonts w:ascii="Times New Roman" w:hAnsi="Times New Roman" w:cs="Times New Roman"/>
          <w:sz w:val="24"/>
          <w:szCs w:val="24"/>
        </w:rPr>
        <w:t xml:space="preserve">as more specifically detailed in its Memorandum to the Commission, </w:t>
      </w:r>
      <w:r w:rsidR="00E54945">
        <w:rPr>
          <w:rFonts w:ascii="Times New Roman" w:hAnsi="Times New Roman" w:cs="Times New Roman"/>
          <w:sz w:val="24"/>
          <w:szCs w:val="24"/>
        </w:rPr>
        <w:t xml:space="preserve">which is incorporated herein by reference, </w:t>
      </w:r>
      <w:r w:rsidR="00A942A4" w:rsidRPr="00D93097">
        <w:rPr>
          <w:rFonts w:ascii="Times New Roman" w:hAnsi="Times New Roman" w:cs="Times New Roman"/>
          <w:sz w:val="24"/>
          <w:szCs w:val="24"/>
        </w:rPr>
        <w:t xml:space="preserve">Staff reports that the Application fulfills all of the </w:t>
      </w:r>
      <w:r w:rsidR="00A942A4" w:rsidRPr="00D93097">
        <w:rPr>
          <w:rFonts w:ascii="Times New Roman" w:hAnsi="Times New Roman" w:cs="Times New Roman"/>
          <w:sz w:val="24"/>
          <w:szCs w:val="24"/>
        </w:rPr>
        <w:lastRenderedPageBreak/>
        <w:t>requirements set forth in the Act and the Supplier Rules for an Electric Supplier Certificate to act as a</w:t>
      </w:r>
      <w:r w:rsidR="0090573A" w:rsidRPr="00D93097">
        <w:rPr>
          <w:rFonts w:ascii="Times New Roman" w:hAnsi="Times New Roman" w:cs="Times New Roman"/>
          <w:sz w:val="24"/>
          <w:szCs w:val="24"/>
        </w:rPr>
        <w:t xml:space="preserve">n electric </w:t>
      </w:r>
      <w:r w:rsidR="00B02E3A">
        <w:rPr>
          <w:rFonts w:ascii="Times New Roman" w:hAnsi="Times New Roman" w:cs="Times New Roman"/>
          <w:sz w:val="24"/>
          <w:szCs w:val="24"/>
        </w:rPr>
        <w:t>broker</w:t>
      </w:r>
      <w:r w:rsidR="00B46B45">
        <w:rPr>
          <w:rFonts w:ascii="Times New Roman" w:hAnsi="Times New Roman" w:cs="Times New Roman"/>
          <w:sz w:val="24"/>
          <w:szCs w:val="24"/>
        </w:rPr>
        <w:t>.</w:t>
      </w:r>
      <w:r w:rsidR="00196BF5" w:rsidRPr="00D93097">
        <w:rPr>
          <w:rFonts w:ascii="Times New Roman" w:hAnsi="Times New Roman" w:cs="Times New Roman"/>
          <w:sz w:val="24"/>
          <w:szCs w:val="24"/>
        </w:rPr>
        <w:t xml:space="preserve"> In particular, Staff reports that </w:t>
      </w:r>
      <w:r w:rsidR="00FF21FD" w:rsidRPr="00D93097">
        <w:rPr>
          <w:rFonts w:ascii="Times New Roman" w:hAnsi="Times New Roman" w:cs="Times New Roman"/>
          <w:sz w:val="24"/>
          <w:szCs w:val="24"/>
        </w:rPr>
        <w:t xml:space="preserve">the Company </w:t>
      </w:r>
      <w:r w:rsidR="00A942A4" w:rsidRPr="00D93097">
        <w:rPr>
          <w:rFonts w:ascii="Times New Roman" w:hAnsi="Times New Roman" w:cs="Times New Roman"/>
          <w:sz w:val="24"/>
          <w:szCs w:val="24"/>
        </w:rPr>
        <w:t xml:space="preserve">has specifically presented evidence to support its financial, operational, managerial, and technical ability to </w:t>
      </w:r>
      <w:r w:rsidR="002E252A">
        <w:rPr>
          <w:rFonts w:ascii="Times New Roman" w:hAnsi="Times New Roman" w:cs="Times New Roman"/>
          <w:sz w:val="24"/>
          <w:szCs w:val="24"/>
        </w:rPr>
        <w:t>broker</w:t>
      </w:r>
      <w:r w:rsidR="00A942A4" w:rsidRPr="00D93097">
        <w:rPr>
          <w:rFonts w:ascii="Times New Roman" w:hAnsi="Times New Roman" w:cs="Times New Roman"/>
          <w:sz w:val="24"/>
          <w:szCs w:val="24"/>
        </w:rPr>
        <w:t xml:space="preserve"> Electric Supply Service within the State of Delaware.  Therefore, Staff recommends that the Commission issue an Electric Supplier Certificate to authorize </w:t>
      </w:r>
      <w:bookmarkStart w:id="1" w:name="_Hlk34142456"/>
      <w:r w:rsidR="00577D05">
        <w:rPr>
          <w:rFonts w:ascii="Times New Roman" w:hAnsi="Times New Roman" w:cs="Times New Roman"/>
          <w:sz w:val="24"/>
          <w:szCs w:val="24"/>
        </w:rPr>
        <w:t>Grid Energy Exchange LLC</w:t>
      </w:r>
      <w:r w:rsidR="00876842" w:rsidRPr="0087684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D0B18" w:rsidRPr="00D93097">
        <w:rPr>
          <w:rFonts w:ascii="Times New Roman" w:hAnsi="Times New Roman" w:cs="Times New Roman"/>
          <w:sz w:val="24"/>
          <w:szCs w:val="24"/>
        </w:rPr>
        <w:t xml:space="preserve">to </w:t>
      </w:r>
      <w:r w:rsidR="002E252A">
        <w:rPr>
          <w:rFonts w:ascii="Times New Roman" w:hAnsi="Times New Roman" w:cs="Times New Roman"/>
          <w:sz w:val="24"/>
          <w:szCs w:val="24"/>
        </w:rPr>
        <w:t>broker</w:t>
      </w:r>
      <w:r w:rsidR="00A942A4" w:rsidRPr="00D93097">
        <w:rPr>
          <w:rFonts w:ascii="Times New Roman" w:hAnsi="Times New Roman" w:cs="Times New Roman"/>
          <w:sz w:val="24"/>
          <w:szCs w:val="24"/>
        </w:rPr>
        <w:t xml:space="preserve"> Electric Supply Services in the State of Delaware;</w:t>
      </w:r>
    </w:p>
    <w:p w:rsidR="009C7E10" w:rsidRPr="00D93097" w:rsidRDefault="00E3608F" w:rsidP="00EA3CFB">
      <w:pPr>
        <w:pStyle w:val="BodyText"/>
        <w:ind w:left="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NOW, THEREFORE, IT IS ORDERED BY THE AFFIRMATIVE </w:t>
      </w:r>
    </w:p>
    <w:p w:rsidR="00AB0A13" w:rsidRPr="00D93097" w:rsidRDefault="00E3608F" w:rsidP="009C7E10">
      <w:pPr>
        <w:pStyle w:val="BodyText"/>
        <w:ind w:left="0" w:right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b/>
          <w:bCs/>
          <w:sz w:val="24"/>
          <w:szCs w:val="24"/>
        </w:rPr>
        <w:t>VOTE OF</w:t>
      </w:r>
      <w:r w:rsidR="009C7E10" w:rsidRPr="00D93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93097">
        <w:rPr>
          <w:rFonts w:ascii="Times New Roman" w:eastAsia="Times New Roman" w:hAnsi="Times New Roman" w:cs="Times New Roman"/>
          <w:b/>
          <w:bCs/>
          <w:sz w:val="24"/>
          <w:szCs w:val="24"/>
        </w:rPr>
        <w:t>NOT FEWER THAN THREE COMMISSIONERS:</w:t>
      </w:r>
    </w:p>
    <w:p w:rsidR="00EA3CFB" w:rsidRPr="00D93097" w:rsidRDefault="00EA3CFB" w:rsidP="00EA3CFB">
      <w:pPr>
        <w:widowControl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3CFB" w:rsidRPr="00D93097" w:rsidRDefault="00577D0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Grid Energy Exchange LLC</w:t>
      </w:r>
      <w:r w:rsidR="00B007DB" w:rsidRPr="00D9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is hereby granted a certificate to do business and operate as an Electric Supplier within the State of Delaware. Under this Electric Supplier Certificate, </w:t>
      </w:r>
      <w:r w:rsidR="00FF21FD" w:rsidRPr="00D93097">
        <w:rPr>
          <w:rFonts w:ascii="Times New Roman" w:eastAsia="Times New Roman" w:hAnsi="Times New Roman" w:cs="Times New Roman"/>
          <w:sz w:val="24"/>
          <w:szCs w:val="24"/>
        </w:rPr>
        <w:t>the Company</w:t>
      </w:r>
      <w:r w:rsidR="00A10E69" w:rsidRPr="00D9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is authorized to </w:t>
      </w:r>
      <w:r w:rsidR="00B02E3A">
        <w:rPr>
          <w:rFonts w:ascii="Times New Roman" w:eastAsia="Times New Roman" w:hAnsi="Times New Roman" w:cs="Times New Roman"/>
          <w:sz w:val="24"/>
          <w:szCs w:val="24"/>
        </w:rPr>
        <w:t>broker</w:t>
      </w:r>
      <w:r w:rsidR="00A10E69" w:rsidRPr="00D9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Electric Supply Service within the State of Delaware </w:t>
      </w:r>
      <w:r w:rsidR="00EA3CFB" w:rsidRPr="00D93097">
        <w:rPr>
          <w:rFonts w:ascii="Times New Roman" w:hAnsi="Times New Roman" w:cs="Times New Roman"/>
          <w:sz w:val="24"/>
          <w:szCs w:val="24"/>
        </w:rPr>
        <w:t>consistent with and in accordance with the Act and the Supplier Rules.</w:t>
      </w:r>
    </w:p>
    <w:p w:rsidR="00EA3CFB" w:rsidRPr="00D93097" w:rsidRDefault="00577D0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Grid Energy Exchange LLC</w:t>
      </w:r>
      <w:r w:rsidR="00E27A5F" w:rsidRPr="00E27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is hereby notified that a violation of any applicable order, statute, regulation, rule, or other controlling authority may be enforced by sanctions </w:t>
      </w:r>
      <w:r w:rsidR="00694FA4">
        <w:rPr>
          <w:rFonts w:ascii="Times New Roman" w:eastAsia="Times New Roman" w:hAnsi="Times New Roman" w:cs="Times New Roman"/>
          <w:sz w:val="24"/>
          <w:szCs w:val="24"/>
        </w:rPr>
        <w:t>in accordance with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 §§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1012(a) and 1019 of the Act and §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3001-10.2 of the Supplier Rules.</w:t>
      </w:r>
    </w:p>
    <w:p w:rsidR="00EA3CFB" w:rsidRPr="00D93097" w:rsidRDefault="00577D0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Grid Energy Exchange LLC</w:t>
      </w:r>
      <w:r w:rsidR="00E27A5F" w:rsidRPr="00E27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shall file such reports and pay such fees and assessments as may be required or imposed </w:t>
      </w:r>
      <w:r w:rsidR="00694FA4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 §§</w:t>
      </w:r>
      <w:r w:rsidR="00826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114, 115</w:t>
      </w:r>
      <w:r w:rsidR="00084EF9" w:rsidRPr="00D930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>§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 1012(c)(2) of the Act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 and §§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3001-3.9 and 3.10 of the Supplier Rules.</w:t>
      </w:r>
    </w:p>
    <w:p w:rsidR="00EA3CFB" w:rsidRPr="00D93097" w:rsidRDefault="00577D0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Grid Energy Exchange LLC</w:t>
      </w:r>
      <w:r w:rsidR="00E27A5F" w:rsidRPr="00D9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 xml:space="preserve">consents to the jurisdiction of the courts of the State of Delaware for all acts or omissions related to its offering of Electric Supply Services in </w:t>
      </w:r>
      <w:r w:rsidR="00CF4276">
        <w:rPr>
          <w:rFonts w:ascii="Times New Roman" w:eastAsia="Times New Roman" w:hAnsi="Times New Roman" w:cs="Times New Roman"/>
          <w:sz w:val="24"/>
          <w:szCs w:val="24"/>
        </w:rPr>
        <w:t>Delaware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CFB" w:rsidRPr="00D93097" w:rsidRDefault="00577D05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Grid Energy Exchange LLC</w:t>
      </w:r>
      <w:r w:rsidR="00527D68" w:rsidRPr="00D93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is hereby placed on notice that the costs of this proceeding will be c</w:t>
      </w:r>
      <w:r w:rsidR="00A259F2" w:rsidRPr="00D93097">
        <w:rPr>
          <w:rFonts w:ascii="Times New Roman" w:eastAsia="Times New Roman" w:hAnsi="Times New Roman" w:cs="Times New Roman"/>
          <w:sz w:val="24"/>
          <w:szCs w:val="24"/>
        </w:rPr>
        <w:t xml:space="preserve">harged to it pursuant to </w:t>
      </w:r>
      <w:r w:rsidR="00F37FBC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 w:rsidR="00F37FBC" w:rsidRPr="00F37FBC">
        <w:rPr>
          <w:rFonts w:ascii="Times New Roman" w:eastAsia="Times New Roman" w:hAnsi="Times New Roman" w:cs="Times New Roman"/>
          <w:i/>
          <w:sz w:val="24"/>
          <w:szCs w:val="24"/>
        </w:rPr>
        <w:t>Del. C</w:t>
      </w:r>
      <w:r w:rsidR="00F37F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59F2" w:rsidRPr="00D9309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9F2" w:rsidRPr="00D93097">
        <w:rPr>
          <w:rFonts w:ascii="Times New Roman" w:eastAsia="Times New Roman" w:hAnsi="Times New Roman" w:cs="Times New Roman"/>
          <w:sz w:val="24"/>
          <w:szCs w:val="24"/>
        </w:rPr>
        <w:t>114(b)</w:t>
      </w:r>
      <w:r w:rsidR="00EA3CFB" w:rsidRPr="00D93097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5031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A13" w:rsidRPr="00D93097" w:rsidRDefault="00EA3CFB" w:rsidP="0017043A">
      <w:pPr>
        <w:pStyle w:val="BodyText"/>
        <w:numPr>
          <w:ilvl w:val="0"/>
          <w:numId w:val="3"/>
        </w:numPr>
        <w:spacing w:line="480" w:lineRule="auto"/>
        <w:ind w:left="0" w:righ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The Commission reserves the jurisdiction and authority to enter such further orders in this matter as may be deemed necessary or proper.</w:t>
      </w:r>
    </w:p>
    <w:p w:rsidR="00AE5973" w:rsidRDefault="00AE5973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973" w:rsidRDefault="00AE5973" w:rsidP="00433C16">
      <w:pPr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973" w:rsidRDefault="00AE5973" w:rsidP="00433C16">
      <w:pPr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b/>
          <w:sz w:val="24"/>
          <w:szCs w:val="24"/>
        </w:rPr>
        <w:t>BY ORDER OF THE COMMISSION:</w:t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8C7" w:rsidRPr="00D93097" w:rsidRDefault="007F38C7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EF1" w:rsidRPr="00D93097" w:rsidRDefault="00B43EF1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C16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Chair</w:t>
      </w:r>
      <w:r w:rsidR="00B43EF1" w:rsidRPr="00D93097">
        <w:rPr>
          <w:rFonts w:ascii="Times New Roman" w:eastAsia="Times New Roman" w:hAnsi="Times New Roman" w:cs="Times New Roman"/>
          <w:sz w:val="24"/>
          <w:szCs w:val="24"/>
        </w:rPr>
        <w:t>man</w:t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EF1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Commissioner</w:t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Commissioner</w:t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Commissioner</w:t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8C2C80" w:rsidRPr="00D93097" w:rsidRDefault="008C2C80" w:rsidP="00433C16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Commissioner</w:t>
      </w:r>
    </w:p>
    <w:p w:rsidR="008C2C80" w:rsidRPr="00D93097" w:rsidRDefault="008C2C80" w:rsidP="008C2C80">
      <w:pPr>
        <w:ind w:left="-6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8C2C80">
      <w:pPr>
        <w:ind w:left="-6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3C16" w:rsidRDefault="00433C16" w:rsidP="008C2C80">
      <w:pPr>
        <w:ind w:left="-6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82C" w:rsidRDefault="00EE382C" w:rsidP="008C2C80">
      <w:pPr>
        <w:ind w:left="-6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82C" w:rsidRPr="00D93097" w:rsidRDefault="00EE382C" w:rsidP="008C2C80">
      <w:pPr>
        <w:ind w:left="-6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EF1" w:rsidRPr="00D93097" w:rsidRDefault="00B43EF1" w:rsidP="00733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733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:rsidR="008C2C80" w:rsidRPr="00D93097" w:rsidRDefault="008C2C80" w:rsidP="00733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C80" w:rsidRPr="00D93097" w:rsidRDefault="008C2C80" w:rsidP="00733C7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C2C80" w:rsidRPr="00D93097" w:rsidRDefault="008C2C80" w:rsidP="00733C7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_GoBack"/>
      <w:bookmarkEnd w:id="2"/>
    </w:p>
    <w:p w:rsidR="008C2C80" w:rsidRPr="00D93097" w:rsidRDefault="008C2C80" w:rsidP="00733C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309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F2B38" w:rsidRPr="00D93097" w:rsidRDefault="008C2C80" w:rsidP="00733C75">
      <w:pPr>
        <w:jc w:val="both"/>
        <w:rPr>
          <w:rFonts w:ascii="Times New Roman" w:hAnsi="Times New Roman" w:cs="Times New Roman"/>
          <w:sz w:val="24"/>
          <w:szCs w:val="24"/>
        </w:rPr>
      </w:pPr>
      <w:r w:rsidRPr="00D93097">
        <w:rPr>
          <w:rFonts w:ascii="Times New Roman" w:eastAsia="Times New Roman" w:hAnsi="Times New Roman" w:cs="Times New Roman"/>
          <w:sz w:val="24"/>
          <w:szCs w:val="24"/>
        </w:rPr>
        <w:t>Secretary</w:t>
      </w:r>
    </w:p>
    <w:sectPr w:rsidR="00CF2B38" w:rsidRPr="00D93097" w:rsidSect="00F9563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4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60F" w:rsidRDefault="00DB560F" w:rsidP="00DF6C42">
      <w:r>
        <w:separator/>
      </w:r>
    </w:p>
  </w:endnote>
  <w:endnote w:type="continuationSeparator" w:id="0">
    <w:p w:rsidR="00DB560F" w:rsidRDefault="00DB560F" w:rsidP="00DF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17824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:rsidR="001D0B25" w:rsidRPr="001D0B25" w:rsidRDefault="001D0B25" w:rsidP="001D0B25">
        <w:pPr>
          <w:pStyle w:val="Footer"/>
          <w:tabs>
            <w:tab w:val="clear" w:pos="4680"/>
            <w:tab w:val="clear" w:pos="9360"/>
            <w:tab w:val="center" w:pos="4320"/>
            <w:tab w:val="right" w:pos="8640"/>
          </w:tabs>
          <w:jc w:val="center"/>
          <w:rPr>
            <w:rFonts w:ascii="Courier New" w:hAnsi="Courier New" w:cs="Courier New"/>
          </w:rPr>
        </w:pPr>
        <w:r w:rsidRPr="001D0B25">
          <w:rPr>
            <w:rFonts w:ascii="Courier New" w:hAnsi="Courier New" w:cs="Courier New"/>
          </w:rPr>
          <w:fldChar w:fldCharType="begin"/>
        </w:r>
        <w:r w:rsidRPr="001D0B25">
          <w:rPr>
            <w:rFonts w:ascii="Courier New" w:hAnsi="Courier New" w:cs="Courier New"/>
          </w:rPr>
          <w:instrText xml:space="preserve"> PAGE   \* MERGEFORMAT </w:instrText>
        </w:r>
        <w:r w:rsidRPr="001D0B25">
          <w:rPr>
            <w:rFonts w:ascii="Courier New" w:hAnsi="Courier New" w:cs="Courier New"/>
          </w:rPr>
          <w:fldChar w:fldCharType="separate"/>
        </w:r>
        <w:r w:rsidR="00B02E3A">
          <w:rPr>
            <w:rFonts w:ascii="Courier New" w:hAnsi="Courier New" w:cs="Courier New"/>
            <w:noProof/>
          </w:rPr>
          <w:t>3</w:t>
        </w:r>
        <w:r w:rsidRPr="001D0B25">
          <w:rPr>
            <w:rFonts w:ascii="Courier New" w:hAnsi="Courier New" w:cs="Courier New"/>
            <w:noProof/>
          </w:rPr>
          <w:fldChar w:fldCharType="end"/>
        </w:r>
      </w:p>
    </w:sdtContent>
  </w:sdt>
  <w:p w:rsidR="00D34A5F" w:rsidRDefault="00EE382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60F" w:rsidRDefault="00DB560F" w:rsidP="00DF6C42">
      <w:r>
        <w:separator/>
      </w:r>
    </w:p>
  </w:footnote>
  <w:footnote w:type="continuationSeparator" w:id="0">
    <w:p w:rsidR="00DB560F" w:rsidRDefault="00DB560F" w:rsidP="00DF6C42">
      <w:r>
        <w:continuationSeparator/>
      </w:r>
    </w:p>
  </w:footnote>
  <w:footnote w:id="1">
    <w:p w:rsidR="00DF6C42" w:rsidRPr="00DF6C42" w:rsidRDefault="00DF6C42" w:rsidP="00DF6C42">
      <w:pPr>
        <w:pStyle w:val="FootnoteText"/>
        <w:jc w:val="both"/>
        <w:rPr>
          <w:rFonts w:ascii="Courier New" w:hAnsi="Courier New" w:cs="Courier New"/>
        </w:rPr>
      </w:pPr>
      <w:r w:rsidRPr="000A1357">
        <w:rPr>
          <w:rStyle w:val="FootnoteReference"/>
          <w:rFonts w:ascii="Times New Roman" w:hAnsi="Times New Roman" w:cs="Times New Roman"/>
        </w:rPr>
        <w:footnoteRef/>
      </w:r>
      <w:r w:rsidRPr="000A1357">
        <w:rPr>
          <w:rFonts w:ascii="Times New Roman" w:hAnsi="Times New Roman" w:cs="Times New Roman"/>
        </w:rPr>
        <w:t xml:space="preserve"> Unless otherwise noted, capitalized terms shall have the meanings ascribed to them in the Act and the Supplier Rules.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3E" w:rsidRPr="00EE382C" w:rsidRDefault="00760B3E" w:rsidP="000953BA">
    <w:pPr>
      <w:pStyle w:val="Header"/>
      <w:tabs>
        <w:tab w:val="clear" w:pos="4680"/>
        <w:tab w:val="clear" w:pos="9360"/>
      </w:tabs>
      <w:spacing w:line="480" w:lineRule="auto"/>
      <w:jc w:val="both"/>
      <w:rPr>
        <w:rFonts w:ascii="Times New Roman" w:hAnsi="Times New Roman" w:cs="Courier New"/>
        <w:sz w:val="24"/>
        <w:szCs w:val="24"/>
      </w:rPr>
    </w:pPr>
    <w:r w:rsidRPr="00EE382C">
      <w:rPr>
        <w:rFonts w:ascii="Times New Roman" w:hAnsi="Times New Roman" w:cs="Courier New"/>
        <w:sz w:val="24"/>
        <w:szCs w:val="24"/>
      </w:rPr>
      <w:t xml:space="preserve">PSC Docket No. </w:t>
    </w:r>
    <w:r w:rsidR="00577D05" w:rsidRPr="00EE382C">
      <w:rPr>
        <w:rFonts w:ascii="Times New Roman" w:hAnsi="Times New Roman" w:cs="Courier New"/>
        <w:sz w:val="24"/>
        <w:szCs w:val="24"/>
      </w:rPr>
      <w:t>20-0067</w:t>
    </w:r>
    <w:r w:rsidRPr="00EE382C">
      <w:rPr>
        <w:rFonts w:ascii="Times New Roman" w:hAnsi="Times New Roman" w:cs="Courier New"/>
        <w:sz w:val="24"/>
        <w:szCs w:val="24"/>
      </w:rPr>
      <w:t xml:space="preserve">, Order No. </w:t>
    </w:r>
    <w:r w:rsidR="00EE382C" w:rsidRPr="00EE382C">
      <w:rPr>
        <w:rFonts w:ascii="Times New Roman" w:hAnsi="Times New Roman" w:cs="Courier New"/>
        <w:sz w:val="24"/>
        <w:szCs w:val="24"/>
      </w:rPr>
      <w:t>9561</w:t>
    </w:r>
    <w:r w:rsidRPr="00EE382C">
      <w:rPr>
        <w:rFonts w:ascii="Times New Roman" w:hAnsi="Times New Roman" w:cs="Courier New"/>
        <w:sz w:val="24"/>
        <w:szCs w:val="24"/>
      </w:rPr>
      <w:t xml:space="preserve"> Cont’d</w:t>
    </w:r>
  </w:p>
  <w:p w:rsidR="00D34A5F" w:rsidRPr="00760B3E" w:rsidRDefault="00EE382C" w:rsidP="00760B3E">
    <w:pPr>
      <w:spacing w:line="14" w:lineRule="auto"/>
      <w:jc w:val="both"/>
      <w:rPr>
        <w:rFonts w:ascii="Courier New" w:hAnsi="Courier New" w:cs="Courier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3E" w:rsidRDefault="00760B3E" w:rsidP="00760B3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60C4"/>
    <w:multiLevelType w:val="hybridMultilevel"/>
    <w:tmpl w:val="0436D686"/>
    <w:lvl w:ilvl="0" w:tplc="75605AC2">
      <w:start w:val="1"/>
      <w:numFmt w:val="decimal"/>
      <w:lvlText w:val="%1."/>
      <w:lvlJc w:val="left"/>
      <w:pPr>
        <w:ind w:left="119" w:hanging="721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23A492C6">
      <w:start w:val="1"/>
      <w:numFmt w:val="bullet"/>
      <w:lvlText w:val="•"/>
      <w:lvlJc w:val="left"/>
      <w:pPr>
        <w:ind w:left="995" w:hanging="721"/>
      </w:pPr>
      <w:rPr>
        <w:rFonts w:hint="default"/>
      </w:rPr>
    </w:lvl>
    <w:lvl w:ilvl="2" w:tplc="5F0E14F2">
      <w:start w:val="1"/>
      <w:numFmt w:val="bullet"/>
      <w:lvlText w:val="•"/>
      <w:lvlJc w:val="left"/>
      <w:pPr>
        <w:ind w:left="1871" w:hanging="721"/>
      </w:pPr>
      <w:rPr>
        <w:rFonts w:hint="default"/>
      </w:rPr>
    </w:lvl>
    <w:lvl w:ilvl="3" w:tplc="CA0E3486">
      <w:start w:val="1"/>
      <w:numFmt w:val="bullet"/>
      <w:lvlText w:val="•"/>
      <w:lvlJc w:val="left"/>
      <w:pPr>
        <w:ind w:left="2747" w:hanging="721"/>
      </w:pPr>
      <w:rPr>
        <w:rFonts w:hint="default"/>
      </w:rPr>
    </w:lvl>
    <w:lvl w:ilvl="4" w:tplc="5706F0D6">
      <w:start w:val="1"/>
      <w:numFmt w:val="bullet"/>
      <w:lvlText w:val="•"/>
      <w:lvlJc w:val="left"/>
      <w:pPr>
        <w:ind w:left="3623" w:hanging="721"/>
      </w:pPr>
      <w:rPr>
        <w:rFonts w:hint="default"/>
      </w:rPr>
    </w:lvl>
    <w:lvl w:ilvl="5" w:tplc="CB8E7BC2">
      <w:start w:val="1"/>
      <w:numFmt w:val="bullet"/>
      <w:lvlText w:val="•"/>
      <w:lvlJc w:val="left"/>
      <w:pPr>
        <w:ind w:left="4499" w:hanging="721"/>
      </w:pPr>
      <w:rPr>
        <w:rFonts w:hint="default"/>
      </w:rPr>
    </w:lvl>
    <w:lvl w:ilvl="6" w:tplc="59B6068C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7" w:tplc="63A402EC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8" w:tplc="9112F3AE">
      <w:start w:val="1"/>
      <w:numFmt w:val="bullet"/>
      <w:lvlText w:val="•"/>
      <w:lvlJc w:val="left"/>
      <w:pPr>
        <w:ind w:left="7127" w:hanging="721"/>
      </w:pPr>
      <w:rPr>
        <w:rFonts w:hint="default"/>
      </w:rPr>
    </w:lvl>
  </w:abstractNum>
  <w:abstractNum w:abstractNumId="1" w15:restartNumberingAfterBreak="0">
    <w:nsid w:val="4FE84AC0"/>
    <w:multiLevelType w:val="hybridMultilevel"/>
    <w:tmpl w:val="29C48EB0"/>
    <w:lvl w:ilvl="0" w:tplc="DDD856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C53DED"/>
    <w:multiLevelType w:val="hybridMultilevel"/>
    <w:tmpl w:val="416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2DC7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5576C"/>
    <w:multiLevelType w:val="hybridMultilevel"/>
    <w:tmpl w:val="0552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13"/>
    <w:rsid w:val="0000635E"/>
    <w:rsid w:val="000214BC"/>
    <w:rsid w:val="00047CA0"/>
    <w:rsid w:val="00084EF9"/>
    <w:rsid w:val="000953BA"/>
    <w:rsid w:val="000973D7"/>
    <w:rsid w:val="000A1357"/>
    <w:rsid w:val="000A7AE5"/>
    <w:rsid w:val="00117A5A"/>
    <w:rsid w:val="00144609"/>
    <w:rsid w:val="0017043A"/>
    <w:rsid w:val="00186AD5"/>
    <w:rsid w:val="00196BF5"/>
    <w:rsid w:val="001A2FDB"/>
    <w:rsid w:val="001A344E"/>
    <w:rsid w:val="001A7FAA"/>
    <w:rsid w:val="001C1174"/>
    <w:rsid w:val="001D0B25"/>
    <w:rsid w:val="001E093D"/>
    <w:rsid w:val="001F4BBF"/>
    <w:rsid w:val="00200287"/>
    <w:rsid w:val="002014E3"/>
    <w:rsid w:val="00211F3F"/>
    <w:rsid w:val="00225B16"/>
    <w:rsid w:val="00245CF0"/>
    <w:rsid w:val="00273A78"/>
    <w:rsid w:val="0028097A"/>
    <w:rsid w:val="002A766B"/>
    <w:rsid w:val="002C0E62"/>
    <w:rsid w:val="002E252A"/>
    <w:rsid w:val="00357687"/>
    <w:rsid w:val="00374A57"/>
    <w:rsid w:val="00376707"/>
    <w:rsid w:val="00387F6C"/>
    <w:rsid w:val="003A332A"/>
    <w:rsid w:val="003A7819"/>
    <w:rsid w:val="003B3B51"/>
    <w:rsid w:val="00410636"/>
    <w:rsid w:val="00433C16"/>
    <w:rsid w:val="004477D9"/>
    <w:rsid w:val="00452810"/>
    <w:rsid w:val="00490B19"/>
    <w:rsid w:val="004A3BA9"/>
    <w:rsid w:val="004E08D5"/>
    <w:rsid w:val="00501A60"/>
    <w:rsid w:val="0050310E"/>
    <w:rsid w:val="00527D68"/>
    <w:rsid w:val="00552534"/>
    <w:rsid w:val="00556D80"/>
    <w:rsid w:val="005610E6"/>
    <w:rsid w:val="005733F0"/>
    <w:rsid w:val="00577D05"/>
    <w:rsid w:val="00580705"/>
    <w:rsid w:val="005A59D2"/>
    <w:rsid w:val="005B3A49"/>
    <w:rsid w:val="005E5B84"/>
    <w:rsid w:val="005F0B6B"/>
    <w:rsid w:val="006233F1"/>
    <w:rsid w:val="00641176"/>
    <w:rsid w:val="00681D1F"/>
    <w:rsid w:val="00694FA4"/>
    <w:rsid w:val="006F2B73"/>
    <w:rsid w:val="00720E7B"/>
    <w:rsid w:val="007247F1"/>
    <w:rsid w:val="00733C75"/>
    <w:rsid w:val="007443AE"/>
    <w:rsid w:val="00760B3E"/>
    <w:rsid w:val="00762D10"/>
    <w:rsid w:val="00784E50"/>
    <w:rsid w:val="007923C0"/>
    <w:rsid w:val="007A5BC8"/>
    <w:rsid w:val="007C0258"/>
    <w:rsid w:val="007F1D81"/>
    <w:rsid w:val="007F38C7"/>
    <w:rsid w:val="007F4201"/>
    <w:rsid w:val="00824B30"/>
    <w:rsid w:val="008260C5"/>
    <w:rsid w:val="0083577E"/>
    <w:rsid w:val="00852C37"/>
    <w:rsid w:val="008537D8"/>
    <w:rsid w:val="00864B68"/>
    <w:rsid w:val="008665EA"/>
    <w:rsid w:val="00876842"/>
    <w:rsid w:val="008C2C80"/>
    <w:rsid w:val="008E00DB"/>
    <w:rsid w:val="0090573A"/>
    <w:rsid w:val="00933357"/>
    <w:rsid w:val="00973587"/>
    <w:rsid w:val="0097406F"/>
    <w:rsid w:val="009A1BD4"/>
    <w:rsid w:val="009A5D5B"/>
    <w:rsid w:val="009B09E0"/>
    <w:rsid w:val="009C7E10"/>
    <w:rsid w:val="00A10E69"/>
    <w:rsid w:val="00A259F2"/>
    <w:rsid w:val="00A36F9F"/>
    <w:rsid w:val="00A43B68"/>
    <w:rsid w:val="00A70624"/>
    <w:rsid w:val="00A72FB3"/>
    <w:rsid w:val="00A7729E"/>
    <w:rsid w:val="00A942A4"/>
    <w:rsid w:val="00A971BC"/>
    <w:rsid w:val="00AB0A13"/>
    <w:rsid w:val="00AE5973"/>
    <w:rsid w:val="00B007DB"/>
    <w:rsid w:val="00B02E3A"/>
    <w:rsid w:val="00B43C1E"/>
    <w:rsid w:val="00B43EF1"/>
    <w:rsid w:val="00B46B45"/>
    <w:rsid w:val="00B82B7D"/>
    <w:rsid w:val="00B87196"/>
    <w:rsid w:val="00BA4424"/>
    <w:rsid w:val="00BA4897"/>
    <w:rsid w:val="00BC1140"/>
    <w:rsid w:val="00BD29D3"/>
    <w:rsid w:val="00BE1400"/>
    <w:rsid w:val="00BE52D6"/>
    <w:rsid w:val="00C04A0C"/>
    <w:rsid w:val="00C16DBF"/>
    <w:rsid w:val="00C21C5B"/>
    <w:rsid w:val="00C470BD"/>
    <w:rsid w:val="00C67442"/>
    <w:rsid w:val="00C71B90"/>
    <w:rsid w:val="00C748E8"/>
    <w:rsid w:val="00CA2F26"/>
    <w:rsid w:val="00CA64F8"/>
    <w:rsid w:val="00CB2399"/>
    <w:rsid w:val="00CB2EEC"/>
    <w:rsid w:val="00CD0B18"/>
    <w:rsid w:val="00CF2B38"/>
    <w:rsid w:val="00CF4276"/>
    <w:rsid w:val="00D01644"/>
    <w:rsid w:val="00D03388"/>
    <w:rsid w:val="00D17E7E"/>
    <w:rsid w:val="00D24810"/>
    <w:rsid w:val="00D51A0C"/>
    <w:rsid w:val="00D5558F"/>
    <w:rsid w:val="00D93097"/>
    <w:rsid w:val="00DA1C3D"/>
    <w:rsid w:val="00DA5E71"/>
    <w:rsid w:val="00DA6703"/>
    <w:rsid w:val="00DB560F"/>
    <w:rsid w:val="00DD3F04"/>
    <w:rsid w:val="00DE75A2"/>
    <w:rsid w:val="00DF1163"/>
    <w:rsid w:val="00DF3FCA"/>
    <w:rsid w:val="00DF6C42"/>
    <w:rsid w:val="00E25DEC"/>
    <w:rsid w:val="00E27A5F"/>
    <w:rsid w:val="00E3608F"/>
    <w:rsid w:val="00E522EB"/>
    <w:rsid w:val="00E54945"/>
    <w:rsid w:val="00E56FD0"/>
    <w:rsid w:val="00E949E2"/>
    <w:rsid w:val="00E97271"/>
    <w:rsid w:val="00EA367D"/>
    <w:rsid w:val="00EA3CFB"/>
    <w:rsid w:val="00EC5C7B"/>
    <w:rsid w:val="00ED0C9F"/>
    <w:rsid w:val="00EE382C"/>
    <w:rsid w:val="00EE43AF"/>
    <w:rsid w:val="00EE6DC6"/>
    <w:rsid w:val="00F37FBC"/>
    <w:rsid w:val="00F95636"/>
    <w:rsid w:val="00F95C2A"/>
    <w:rsid w:val="00F97F9D"/>
    <w:rsid w:val="00FB4252"/>
    <w:rsid w:val="00FC4C31"/>
    <w:rsid w:val="00FD41D9"/>
    <w:rsid w:val="00FD616E"/>
    <w:rsid w:val="00FD78C4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64A14C3"/>
  <w15:docId w15:val="{829E2C87-8BA7-47BE-9B34-2158A392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AB0A13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AB0A13"/>
    <w:pPr>
      <w:spacing w:before="79"/>
      <w:ind w:hanging="792"/>
      <w:outlineLvl w:val="0"/>
    </w:pPr>
    <w:rPr>
      <w:rFonts w:ascii="Courier New" w:eastAsia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0A13"/>
    <w:rPr>
      <w:rFonts w:ascii="Courier New" w:eastAsia="Courier New" w:hAnsi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AB0A13"/>
    <w:pPr>
      <w:ind w:left="120"/>
    </w:pPr>
    <w:rPr>
      <w:rFonts w:ascii="Courier New" w:eastAsia="Courier New" w:hAnsi="Courier New"/>
    </w:rPr>
  </w:style>
  <w:style w:type="character" w:customStyle="1" w:styleId="BodyTextChar">
    <w:name w:val="Body Text Char"/>
    <w:basedOn w:val="DefaultParagraphFont"/>
    <w:link w:val="BodyText"/>
    <w:uiPriority w:val="1"/>
    <w:rsid w:val="00AB0A13"/>
    <w:rPr>
      <w:rFonts w:ascii="Courier New" w:eastAsia="Courier New" w:hAnsi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C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C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E"/>
  </w:style>
  <w:style w:type="paragraph" w:styleId="Footer">
    <w:name w:val="footer"/>
    <w:basedOn w:val="Normal"/>
    <w:link w:val="Foot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3E"/>
  </w:style>
  <w:style w:type="paragraph" w:styleId="ListParagraph">
    <w:name w:val="List Paragraph"/>
    <w:basedOn w:val="Normal"/>
    <w:uiPriority w:val="34"/>
    <w:qFormat/>
    <w:rsid w:val="008C2C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C369-74DE-4B11-BF40-C717DED1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Donoghue, Julie M (DOS)</dc:creator>
  <cp:lastModifiedBy>Banks, Tymone (DOS)</cp:lastModifiedBy>
  <cp:revision>2</cp:revision>
  <dcterms:created xsi:type="dcterms:W3CDTF">2020-03-06T18:17:00Z</dcterms:created>
  <dcterms:modified xsi:type="dcterms:W3CDTF">2020-03-06T18:17:00Z</dcterms:modified>
</cp:coreProperties>
</file>