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6A01" w:rsidRDefault="00940BC0" w:rsidP="00E411AC">
      <w:pPr>
        <w:spacing w:line="240" w:lineRule="auto"/>
        <w:jc w:val="center"/>
        <w:rPr>
          <w:rFonts w:ascii="Copperplate Gothic Light" w:hAnsi="Copperplate Gothic Light"/>
          <w:sz w:val="20"/>
          <w:szCs w:val="20"/>
        </w:rPr>
      </w:pPr>
      <w:r w:rsidRPr="00940BC0">
        <w:rPr>
          <w:rFonts w:ascii="Copperplate Gothic Light" w:hAnsi="Copperplate Gothic Light"/>
          <w:noProof/>
          <w:sz w:val="20"/>
          <w:szCs w:val="20"/>
        </w:rPr>
        <mc:AlternateContent>
          <mc:Choice Requires="wps">
            <w:drawing>
              <wp:anchor distT="0" distB="0" distL="114300" distR="114300" simplePos="0" relativeHeight="251659264" behindDoc="0" locked="0" layoutInCell="1" allowOverlap="1" wp14:anchorId="15A8A1E0" wp14:editId="0156CEE4">
                <wp:simplePos x="0" y="0"/>
                <wp:positionH relativeFrom="column">
                  <wp:posOffset>4029075</wp:posOffset>
                </wp:positionH>
                <wp:positionV relativeFrom="paragraph">
                  <wp:posOffset>1619250</wp:posOffset>
                </wp:positionV>
                <wp:extent cx="2695575" cy="400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00050"/>
                        </a:xfrm>
                        <a:prstGeom prst="rect">
                          <a:avLst/>
                        </a:prstGeom>
                        <a:solidFill>
                          <a:srgbClr val="FFFFFF"/>
                        </a:solidFill>
                        <a:ln w="9525">
                          <a:noFill/>
                          <a:miter lim="800000"/>
                          <a:headEnd/>
                          <a:tailEnd/>
                        </a:ln>
                      </wps:spPr>
                      <wps:txbx>
                        <w:txbxContent>
                          <w:p w:rsidR="00940BC0" w:rsidRPr="0017041F" w:rsidRDefault="00940BC0">
                            <w:pPr>
                              <w:rPr>
                                <w:rFonts w:ascii="Copperplate Gothic Light" w:hAnsi="Copperplate Gothic Light"/>
                                <w:color w:val="17365D" w:themeColor="text2" w:themeShade="BF"/>
                                <w:sz w:val="16"/>
                              </w:rPr>
                            </w:pPr>
                            <w:r w:rsidRPr="0017041F">
                              <w:rPr>
                                <w:rFonts w:ascii="Copperplate Gothic Light" w:hAnsi="Copperplate Gothic Light"/>
                                <w:color w:val="17365D" w:themeColor="text2" w:themeShade="BF"/>
                                <w:sz w:val="16"/>
                              </w:rPr>
                              <w:t xml:space="preserve">Telephone:     </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736-7500</w:t>
                            </w:r>
                            <w:r w:rsidRPr="0017041F">
                              <w:rPr>
                                <w:rFonts w:ascii="Copperplate Gothic Light" w:hAnsi="Copperplate Gothic Light"/>
                                <w:color w:val="17365D" w:themeColor="text2" w:themeShade="BF"/>
                                <w:sz w:val="16"/>
                              </w:rPr>
                              <w:br/>
                              <w:t>Fax:</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739-4849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7.25pt;margin-top:127.5pt;width:21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" stroked="f">
                <v:textbox>
                  <w:txbxContent>
                    <w:p w:rsidR="00940BC0" w:rsidRPr="0017041F" w:rsidRDefault="00940BC0">
                      <w:pPr>
                        <w:rPr>
                          <w:rFonts w:ascii="Copperplate Gothic Light" w:hAnsi="Copperplate Gothic Light"/>
                          <w:color w:val="17365D" w:themeColor="text2" w:themeShade="BF"/>
                          <w:sz w:val="16"/>
                        </w:rPr>
                      </w:pPr>
                      <w:r w:rsidRPr="0017041F">
                        <w:rPr>
                          <w:rFonts w:ascii="Copperplate Gothic Light" w:hAnsi="Copperplate Gothic Light"/>
                          <w:color w:val="17365D" w:themeColor="text2" w:themeShade="BF"/>
                          <w:sz w:val="16"/>
                        </w:rPr>
                        <w:t xml:space="preserve">Telephone:     </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736-7500</w:t>
                      </w:r>
                      <w:r w:rsidRPr="0017041F">
                        <w:rPr>
                          <w:rFonts w:ascii="Copperplate Gothic Light" w:hAnsi="Copperplate Gothic Light"/>
                          <w:color w:val="17365D" w:themeColor="text2" w:themeShade="BF"/>
                          <w:sz w:val="16"/>
                        </w:rPr>
                        <w:br/>
                        <w:t>Fax:</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739-4849</w:t>
                      </w:r>
                    </w:p>
                  </w:txbxContent>
                </v:textbox>
              </v:shape>
            </w:pict>
          </mc:Fallback>
        </mc:AlternateContent>
      </w:r>
      <w:r w:rsidR="00A76A01">
        <w:rPr>
          <w:noProof/>
        </w:rPr>
        <w:drawing>
          <wp:inline distT="0" distB="0" distL="0" distR="0" wp14:anchorId="490C4004" wp14:editId="7600BEE7">
            <wp:extent cx="9239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_CrestOnly_Color_300w.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A76A01">
        <w:br/>
      </w:r>
      <w:r w:rsidR="00E411AC" w:rsidRPr="00F73B8F">
        <w:rPr>
          <w:rFonts w:ascii="Copperplate Gothic Light" w:hAnsi="Copperplate Gothic Light"/>
          <w:color w:val="17365D" w:themeColor="text2" w:themeShade="BF"/>
          <w:sz w:val="18"/>
          <w:szCs w:val="20"/>
        </w:rPr>
        <w:t>State of Delaware</w:t>
      </w:r>
      <w:r w:rsidR="00E411AC" w:rsidRPr="00F73B8F">
        <w:rPr>
          <w:rFonts w:ascii="Copperplate Gothic Light" w:hAnsi="Copperplate Gothic Light"/>
          <w:color w:val="17365D" w:themeColor="text2" w:themeShade="BF"/>
          <w:sz w:val="18"/>
          <w:szCs w:val="20"/>
        </w:rPr>
        <w:br/>
      </w:r>
      <w:r w:rsidR="00E411AC" w:rsidRPr="00F73B8F">
        <w:rPr>
          <w:rFonts w:ascii="Copperplate Gothic Light" w:hAnsi="Copperplate Gothic Light"/>
          <w:color w:val="17365D" w:themeColor="text2" w:themeShade="BF"/>
          <w:sz w:val="18"/>
          <w:szCs w:val="20"/>
        </w:rPr>
        <w:br/>
      </w:r>
      <w:r w:rsidR="00A76A01" w:rsidRPr="00F73B8F">
        <w:rPr>
          <w:rFonts w:ascii="Copperplate Gothic Light" w:hAnsi="Copperplate Gothic Light"/>
          <w:b/>
          <w:color w:val="17365D" w:themeColor="text2" w:themeShade="BF"/>
          <w:sz w:val="20"/>
          <w:szCs w:val="21"/>
        </w:rPr>
        <w:t>Public Service Commission</w:t>
      </w:r>
      <w:r w:rsidR="00A76A01" w:rsidRPr="00F73B8F">
        <w:rPr>
          <w:rFonts w:ascii="Copperplate Gothic Light" w:hAnsi="Copperplate Gothic Light"/>
          <w:color w:val="17365D" w:themeColor="text2" w:themeShade="BF"/>
          <w:sz w:val="20"/>
        </w:rPr>
        <w:br/>
      </w:r>
      <w:r w:rsidR="00A76A01" w:rsidRPr="00F73B8F">
        <w:rPr>
          <w:rFonts w:ascii="Copperplate Gothic Light" w:hAnsi="Copperplate Gothic Light"/>
          <w:color w:val="17365D" w:themeColor="text2" w:themeShade="BF"/>
          <w:sz w:val="18"/>
          <w:szCs w:val="20"/>
        </w:rPr>
        <w:t>861 Silver Lake Blvd.</w:t>
      </w:r>
      <w:r w:rsidR="00A76A01" w:rsidRPr="00F73B8F">
        <w:rPr>
          <w:rFonts w:ascii="Copperplate Gothic Light" w:hAnsi="Copperplate Gothic Light"/>
          <w:color w:val="17365D" w:themeColor="text2" w:themeShade="BF"/>
          <w:sz w:val="18"/>
          <w:szCs w:val="20"/>
        </w:rPr>
        <w:br/>
        <w:t>Cannon Building, Suite 100</w:t>
      </w:r>
      <w:r w:rsidR="00A76A01" w:rsidRPr="00F73B8F">
        <w:rPr>
          <w:rFonts w:ascii="Copperplate Gothic Light" w:hAnsi="Copperplate Gothic Light"/>
          <w:color w:val="17365D" w:themeColor="text2" w:themeShade="BF"/>
          <w:sz w:val="18"/>
          <w:szCs w:val="20"/>
        </w:rPr>
        <w:br/>
        <w:t>Dover, Delaware  19904</w:t>
      </w:r>
    </w:p>
    <w:p w:rsidR="0099074D" w:rsidRDefault="0099074D" w:rsidP="0099074D">
      <w:pPr>
        <w:rPr>
          <w:rFonts w:ascii="Copperplate Gothic Light" w:hAnsi="Copperplate Gothic Light"/>
        </w:rPr>
      </w:pPr>
    </w:p>
    <w:p w:rsidR="001A07D1" w:rsidRPr="00034387" w:rsidRDefault="001A07D1" w:rsidP="001A07D1">
      <w:pPr>
        <w:keepNext/>
        <w:spacing w:after="0" w:line="240" w:lineRule="auto"/>
        <w:jc w:val="center"/>
        <w:outlineLvl w:val="0"/>
        <w:rPr>
          <w:rFonts w:eastAsia="Arial Unicode MS" w:cs="Times New Roman"/>
          <w:b/>
          <w:sz w:val="24"/>
          <w:szCs w:val="24"/>
          <w:u w:val="single"/>
        </w:rPr>
      </w:pPr>
      <w:r w:rsidRPr="00034387">
        <w:rPr>
          <w:rFonts w:eastAsia="Arial Unicode MS" w:cs="Times New Roman"/>
          <w:b/>
          <w:sz w:val="24"/>
          <w:szCs w:val="24"/>
          <w:u w:val="single"/>
        </w:rPr>
        <w:t>MEMORANDUM</w:t>
      </w:r>
    </w:p>
    <w:p w:rsidR="001A07D1" w:rsidRPr="001A07D1" w:rsidRDefault="001A07D1" w:rsidP="001A07D1">
      <w:pPr>
        <w:spacing w:after="0" w:line="240" w:lineRule="auto"/>
        <w:jc w:val="center"/>
        <w:rPr>
          <w:rFonts w:ascii="Times New Roman" w:eastAsia="PMingLiU" w:hAnsi="Times New Roman" w:cs="Times New Roman"/>
          <w:u w:val="single"/>
        </w:rPr>
      </w:pPr>
    </w:p>
    <w:p w:rsidR="001A07D1" w:rsidRPr="00034387" w:rsidRDefault="001A07D1" w:rsidP="001A07D1">
      <w:pPr>
        <w:spacing w:after="0" w:line="240" w:lineRule="auto"/>
        <w:rPr>
          <w:rFonts w:ascii="Calibri" w:eastAsia="PMingLiU" w:hAnsi="Calibri" w:cs="Times New Roman"/>
        </w:rPr>
      </w:pPr>
      <w:r w:rsidRPr="00034387">
        <w:rPr>
          <w:rFonts w:ascii="Calibri" w:eastAsia="PMingLiU" w:hAnsi="Calibri" w:cs="Times New Roman"/>
          <w:b/>
          <w:bCs/>
        </w:rPr>
        <w:t>TO:</w:t>
      </w:r>
      <w:r w:rsidRPr="00034387">
        <w:rPr>
          <w:rFonts w:ascii="Calibri" w:eastAsia="PMingLiU" w:hAnsi="Calibri" w:cs="Times New Roman"/>
        </w:rPr>
        <w:tab/>
      </w:r>
      <w:r w:rsidRPr="00034387">
        <w:rPr>
          <w:rFonts w:ascii="Calibri" w:eastAsia="PMingLiU" w:hAnsi="Calibri" w:cs="Times New Roman"/>
        </w:rPr>
        <w:tab/>
        <w:t>The Chair and Commissioners</w:t>
      </w:r>
    </w:p>
    <w:p w:rsidR="001A07D1" w:rsidRPr="00034387" w:rsidRDefault="001A07D1" w:rsidP="001A07D1">
      <w:pPr>
        <w:spacing w:after="0" w:line="240" w:lineRule="auto"/>
        <w:rPr>
          <w:rFonts w:ascii="Calibri" w:eastAsia="PMingLiU" w:hAnsi="Calibri" w:cs="Times New Roman"/>
        </w:rPr>
      </w:pPr>
    </w:p>
    <w:p w:rsidR="001A07D1" w:rsidRPr="00034387" w:rsidRDefault="001A07D1" w:rsidP="001A07D1">
      <w:pPr>
        <w:spacing w:after="0" w:line="240" w:lineRule="auto"/>
        <w:rPr>
          <w:rFonts w:ascii="Calibri" w:eastAsia="PMingLiU" w:hAnsi="Calibri" w:cs="Times New Roman"/>
        </w:rPr>
      </w:pPr>
      <w:r w:rsidRPr="00034387">
        <w:rPr>
          <w:rFonts w:ascii="Calibri" w:eastAsia="PMingLiU" w:hAnsi="Calibri" w:cs="Times New Roman"/>
          <w:b/>
          <w:bCs/>
        </w:rPr>
        <w:t>FROM:</w:t>
      </w:r>
      <w:r w:rsidRPr="00034387">
        <w:rPr>
          <w:rFonts w:ascii="Calibri" w:eastAsia="PMingLiU" w:hAnsi="Calibri" w:cs="Times New Roman"/>
          <w:b/>
          <w:bCs/>
        </w:rPr>
        <w:tab/>
      </w:r>
      <w:r w:rsidRPr="00034387">
        <w:rPr>
          <w:rFonts w:ascii="Calibri" w:eastAsia="PMingLiU" w:hAnsi="Calibri" w:cs="Times New Roman"/>
          <w:b/>
          <w:bCs/>
        </w:rPr>
        <w:tab/>
      </w:r>
      <w:r w:rsidR="00034387">
        <w:rPr>
          <w:rFonts w:ascii="Calibri" w:eastAsia="PMingLiU" w:hAnsi="Calibri" w:cs="Times New Roman"/>
        </w:rPr>
        <w:t>Malika Davis, Public Utility Analyst</w:t>
      </w:r>
      <w:r w:rsidRPr="00034387">
        <w:rPr>
          <w:rFonts w:ascii="Calibri" w:eastAsia="PMingLiU" w:hAnsi="Calibri" w:cs="Times New Roman"/>
        </w:rPr>
        <w:t xml:space="preserve">  </w:t>
      </w:r>
      <w:r w:rsidR="00B633DC">
        <w:rPr>
          <w:rFonts w:ascii="Calibri" w:eastAsia="PMingLiU" w:hAnsi="Calibri" w:cs="Times New Roman"/>
          <w:noProof/>
        </w:rPr>
        <w:drawing>
          <wp:inline distT="0" distB="0" distL="0" distR="0" wp14:anchorId="5351C374" wp14:editId="02C415D5">
            <wp:extent cx="534838" cy="409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838" cy="409343"/>
                    </a:xfrm>
                    <a:prstGeom prst="rect">
                      <a:avLst/>
                    </a:prstGeom>
                    <a:noFill/>
                    <a:ln>
                      <a:noFill/>
                    </a:ln>
                  </pic:spPr>
                </pic:pic>
              </a:graphicData>
            </a:graphic>
          </wp:inline>
        </w:drawing>
      </w:r>
    </w:p>
    <w:p w:rsidR="001A07D1" w:rsidRPr="00034387" w:rsidRDefault="001A07D1" w:rsidP="001A07D1">
      <w:pPr>
        <w:spacing w:after="0" w:line="240" w:lineRule="auto"/>
        <w:rPr>
          <w:rFonts w:ascii="Calibri" w:eastAsia="PMingLiU" w:hAnsi="Calibri" w:cs="Times New Roman"/>
        </w:rPr>
      </w:pPr>
    </w:p>
    <w:p w:rsidR="001A07D1" w:rsidRPr="00034387" w:rsidRDefault="001A07D1" w:rsidP="001A07D1">
      <w:pPr>
        <w:tabs>
          <w:tab w:val="left" w:pos="720"/>
          <w:tab w:val="left" w:pos="1440"/>
          <w:tab w:val="left" w:pos="2160"/>
          <w:tab w:val="left" w:pos="8225"/>
        </w:tabs>
        <w:spacing w:after="0" w:line="240" w:lineRule="auto"/>
        <w:rPr>
          <w:rFonts w:ascii="Calibri" w:eastAsia="PMingLiU" w:hAnsi="Calibri" w:cs="Times New Roman"/>
        </w:rPr>
      </w:pPr>
      <w:r w:rsidRPr="00034387">
        <w:rPr>
          <w:rFonts w:ascii="Calibri" w:eastAsia="PMingLiU" w:hAnsi="Calibri" w:cs="Times New Roman"/>
          <w:b/>
        </w:rPr>
        <w:t>DATE</w:t>
      </w:r>
      <w:r w:rsidRPr="00034387">
        <w:rPr>
          <w:rFonts w:ascii="Calibri" w:eastAsia="PMingLiU" w:hAnsi="Calibri" w:cs="Times New Roman"/>
        </w:rPr>
        <w:t>:</w:t>
      </w:r>
      <w:r w:rsidRPr="00034387">
        <w:rPr>
          <w:rFonts w:ascii="Calibri" w:eastAsia="PMingLiU" w:hAnsi="Calibri" w:cs="Times New Roman"/>
        </w:rPr>
        <w:tab/>
      </w:r>
      <w:r w:rsidRPr="00034387">
        <w:rPr>
          <w:rFonts w:ascii="Calibri" w:eastAsia="PMingLiU" w:hAnsi="Calibri" w:cs="Times New Roman"/>
        </w:rPr>
        <w:tab/>
      </w:r>
      <w:r w:rsidR="00034387">
        <w:rPr>
          <w:rFonts w:ascii="Calibri" w:eastAsia="PMingLiU" w:hAnsi="Calibri" w:cs="Times New Roman"/>
        </w:rPr>
        <w:t>March 1, 2018</w:t>
      </w:r>
    </w:p>
    <w:p w:rsidR="001A07D1" w:rsidRPr="00034387" w:rsidRDefault="001A07D1" w:rsidP="001A07D1">
      <w:pPr>
        <w:tabs>
          <w:tab w:val="left" w:pos="720"/>
          <w:tab w:val="left" w:pos="1440"/>
          <w:tab w:val="left" w:pos="2160"/>
          <w:tab w:val="left" w:pos="8225"/>
        </w:tabs>
        <w:spacing w:after="0" w:line="240" w:lineRule="auto"/>
        <w:rPr>
          <w:rFonts w:ascii="Calibri" w:eastAsia="PMingLiU" w:hAnsi="Calibri" w:cs="Times New Roman"/>
        </w:rPr>
      </w:pPr>
      <w:r w:rsidRPr="00034387">
        <w:rPr>
          <w:rFonts w:ascii="Calibri" w:eastAsia="PMingLiU" w:hAnsi="Calibri" w:cs="Times New Roman"/>
        </w:rPr>
        <w:tab/>
      </w:r>
    </w:p>
    <w:p w:rsidR="00147ECD" w:rsidRPr="00034387" w:rsidRDefault="00147ECD" w:rsidP="00147ECD">
      <w:pPr>
        <w:spacing w:after="0" w:line="240" w:lineRule="auto"/>
        <w:ind w:left="1440" w:hanging="1440"/>
        <w:jc w:val="both"/>
        <w:rPr>
          <w:rFonts w:ascii="Calibri" w:hAnsi="Calibri"/>
        </w:rPr>
      </w:pPr>
      <w:r w:rsidRPr="00034387">
        <w:rPr>
          <w:rFonts w:ascii="Calibri" w:hAnsi="Calibri"/>
          <w:b/>
          <w:bCs/>
        </w:rPr>
        <w:t>SUBJECT:</w:t>
      </w:r>
      <w:r w:rsidRPr="00034387">
        <w:rPr>
          <w:rFonts w:ascii="Calibri" w:hAnsi="Calibri"/>
        </w:rPr>
        <w:tab/>
        <w:t xml:space="preserve">IN THE MATTER OF THE APPLICATION OF </w:t>
      </w:r>
      <w:r w:rsidR="009C5DA3" w:rsidRPr="00034387">
        <w:rPr>
          <w:rFonts w:ascii="Calibri" w:hAnsi="Calibri"/>
        </w:rPr>
        <w:t>DELMARVA POWER &amp; LIGHT</w:t>
      </w:r>
      <w:r w:rsidRPr="00034387">
        <w:rPr>
          <w:rFonts w:ascii="Calibri" w:hAnsi="Calibri"/>
        </w:rPr>
        <w:t xml:space="preserve"> </w:t>
      </w:r>
      <w:r w:rsidR="009C5DA3" w:rsidRPr="00034387">
        <w:rPr>
          <w:rFonts w:ascii="Calibri" w:hAnsi="Calibri"/>
        </w:rPr>
        <w:t xml:space="preserve">COMPANY </w:t>
      </w:r>
      <w:r w:rsidRPr="00034387">
        <w:rPr>
          <w:rFonts w:ascii="Calibri" w:hAnsi="Calibri"/>
        </w:rPr>
        <w:t>FOR A</w:t>
      </w:r>
      <w:r w:rsidR="00034387">
        <w:rPr>
          <w:rFonts w:ascii="Calibri" w:hAnsi="Calibri"/>
        </w:rPr>
        <w:t>N INCREASE</w:t>
      </w:r>
      <w:r w:rsidR="009C5DA3" w:rsidRPr="00034387">
        <w:rPr>
          <w:rFonts w:ascii="Calibri" w:hAnsi="Calibri"/>
        </w:rPr>
        <w:t xml:space="preserve"> I</w:t>
      </w:r>
      <w:r w:rsidRPr="00034387">
        <w:rPr>
          <w:rFonts w:ascii="Calibri" w:hAnsi="Calibri"/>
        </w:rPr>
        <w:t xml:space="preserve">N NATURAL GAS </w:t>
      </w:r>
      <w:r w:rsidR="009C5DA3" w:rsidRPr="00034387">
        <w:rPr>
          <w:rFonts w:ascii="Calibri" w:hAnsi="Calibri"/>
        </w:rPr>
        <w:t xml:space="preserve">BASE </w:t>
      </w:r>
      <w:r w:rsidRPr="00034387">
        <w:rPr>
          <w:rFonts w:ascii="Calibri" w:hAnsi="Calibri"/>
        </w:rPr>
        <w:t xml:space="preserve">RATES (FILED </w:t>
      </w:r>
      <w:r w:rsidR="00034387">
        <w:rPr>
          <w:rFonts w:ascii="Calibri" w:hAnsi="Calibri"/>
        </w:rPr>
        <w:t>AUGUST 17, 2017</w:t>
      </w:r>
      <w:r w:rsidRPr="00034387">
        <w:rPr>
          <w:rFonts w:ascii="Calibri" w:hAnsi="Calibri"/>
        </w:rPr>
        <w:t xml:space="preserve">) – PSC DOCKET NO. </w:t>
      </w:r>
      <w:r w:rsidR="00034387">
        <w:rPr>
          <w:rFonts w:ascii="Calibri" w:hAnsi="Calibri"/>
        </w:rPr>
        <w:t>17-0978</w:t>
      </w:r>
    </w:p>
    <w:p w:rsidR="00147ECD" w:rsidRPr="00034387" w:rsidRDefault="00147ECD" w:rsidP="00147ECD">
      <w:pPr>
        <w:pBdr>
          <w:bottom w:val="single" w:sz="6" w:space="1" w:color="auto"/>
        </w:pBdr>
        <w:spacing w:after="0" w:line="240" w:lineRule="auto"/>
        <w:ind w:left="1440" w:hanging="1440"/>
        <w:rPr>
          <w:rFonts w:ascii="Calibri" w:hAnsi="Calibri"/>
        </w:rPr>
      </w:pPr>
    </w:p>
    <w:p w:rsidR="00147ECD" w:rsidRPr="00034387" w:rsidRDefault="00147ECD" w:rsidP="00147ECD">
      <w:pPr>
        <w:spacing w:after="0" w:line="240" w:lineRule="auto"/>
        <w:ind w:left="1440" w:hanging="1440"/>
        <w:rPr>
          <w:rFonts w:ascii="Calibri" w:hAnsi="Calibri"/>
        </w:rPr>
      </w:pPr>
    </w:p>
    <w:p w:rsidR="0011747D" w:rsidRPr="00034387" w:rsidRDefault="001A1567" w:rsidP="00230344">
      <w:pPr>
        <w:spacing w:after="0" w:line="240" w:lineRule="auto"/>
        <w:jc w:val="both"/>
        <w:rPr>
          <w:rFonts w:ascii="Calibri" w:hAnsi="Calibri"/>
          <w:b/>
          <w:bCs/>
          <w:u w:val="single"/>
        </w:rPr>
      </w:pPr>
      <w:r w:rsidRPr="00034387">
        <w:rPr>
          <w:rFonts w:ascii="Calibri" w:hAnsi="Calibri"/>
          <w:b/>
          <w:bCs/>
          <w:u w:val="single"/>
        </w:rPr>
        <w:t>Application</w:t>
      </w:r>
      <w:r w:rsidR="00604444" w:rsidRPr="00034387">
        <w:rPr>
          <w:rFonts w:ascii="Calibri" w:hAnsi="Calibri"/>
          <w:b/>
          <w:bCs/>
          <w:u w:val="single"/>
        </w:rPr>
        <w:t>:</w:t>
      </w:r>
    </w:p>
    <w:p w:rsidR="00230344" w:rsidRPr="00034387" w:rsidRDefault="00230344" w:rsidP="00230344">
      <w:pPr>
        <w:spacing w:after="0" w:line="240" w:lineRule="auto"/>
        <w:jc w:val="both"/>
        <w:rPr>
          <w:rFonts w:ascii="Calibri" w:hAnsi="Calibri"/>
          <w:b/>
          <w:bCs/>
          <w:u w:val="single"/>
        </w:rPr>
      </w:pPr>
    </w:p>
    <w:p w:rsidR="007239DB" w:rsidRPr="00034387" w:rsidRDefault="003B5C98" w:rsidP="00230344">
      <w:pPr>
        <w:spacing w:after="0" w:line="240" w:lineRule="auto"/>
        <w:jc w:val="both"/>
        <w:rPr>
          <w:bCs/>
        </w:rPr>
      </w:pPr>
      <w:r w:rsidRPr="00034387">
        <w:rPr>
          <w:rFonts w:ascii="Calibri" w:hAnsi="Calibri"/>
          <w:bCs/>
        </w:rPr>
        <w:tab/>
      </w:r>
      <w:r w:rsidR="001A1567" w:rsidRPr="00034387">
        <w:rPr>
          <w:rFonts w:ascii="Calibri" w:hAnsi="Calibri"/>
          <w:bCs/>
        </w:rPr>
        <w:t xml:space="preserve">On </w:t>
      </w:r>
      <w:r w:rsidR="00034387">
        <w:rPr>
          <w:rFonts w:ascii="Calibri" w:hAnsi="Calibri"/>
          <w:bCs/>
        </w:rPr>
        <w:t>August 17, 2017</w:t>
      </w:r>
      <w:r w:rsidR="001A1567" w:rsidRPr="00034387">
        <w:rPr>
          <w:rFonts w:ascii="Calibri" w:hAnsi="Calibri"/>
          <w:bCs/>
        </w:rPr>
        <w:t xml:space="preserve">, </w:t>
      </w:r>
      <w:r w:rsidR="009C5DA3" w:rsidRPr="00034387">
        <w:rPr>
          <w:rFonts w:ascii="Calibri" w:hAnsi="Calibri"/>
          <w:bCs/>
        </w:rPr>
        <w:t>Delmarva Power &amp; Light Company</w:t>
      </w:r>
      <w:r w:rsidRPr="00034387">
        <w:rPr>
          <w:rFonts w:ascii="Calibri" w:hAnsi="Calibri"/>
          <w:bCs/>
        </w:rPr>
        <w:t xml:space="preserve"> (“</w:t>
      </w:r>
      <w:r w:rsidR="009C5DA3" w:rsidRPr="00034387">
        <w:rPr>
          <w:rFonts w:ascii="Calibri" w:hAnsi="Calibri"/>
          <w:bCs/>
        </w:rPr>
        <w:t>Delmarva</w:t>
      </w:r>
      <w:r w:rsidRPr="00034387">
        <w:rPr>
          <w:rFonts w:ascii="Calibri" w:hAnsi="Calibri"/>
          <w:bCs/>
        </w:rPr>
        <w:t>” or the “Company”) filed an application</w:t>
      </w:r>
      <w:r w:rsidR="00230344" w:rsidRPr="00034387">
        <w:rPr>
          <w:rFonts w:ascii="Calibri" w:hAnsi="Calibri"/>
          <w:bCs/>
        </w:rPr>
        <w:t xml:space="preserve"> (“Application”)</w:t>
      </w:r>
      <w:r w:rsidRPr="00034387">
        <w:rPr>
          <w:rFonts w:ascii="Calibri" w:hAnsi="Calibri"/>
          <w:bCs/>
        </w:rPr>
        <w:t xml:space="preserve"> seeking</w:t>
      </w:r>
      <w:r w:rsidRPr="00034387">
        <w:rPr>
          <w:bCs/>
        </w:rPr>
        <w:t xml:space="preserve"> approval for an increase in its natural gas base rates</w:t>
      </w:r>
      <w:r w:rsidR="001A1567" w:rsidRPr="00034387">
        <w:rPr>
          <w:bCs/>
        </w:rPr>
        <w:t xml:space="preserve">.  </w:t>
      </w:r>
      <w:r w:rsidRPr="00034387">
        <w:rPr>
          <w:bCs/>
        </w:rPr>
        <w:t xml:space="preserve">The total revenue increase requested by </w:t>
      </w:r>
      <w:r w:rsidR="009C5DA3" w:rsidRPr="00034387">
        <w:rPr>
          <w:bCs/>
        </w:rPr>
        <w:t>Delmarva</w:t>
      </w:r>
      <w:r w:rsidRPr="00034387">
        <w:rPr>
          <w:bCs/>
        </w:rPr>
        <w:t xml:space="preserve"> in </w:t>
      </w:r>
      <w:r w:rsidR="00FA44E9">
        <w:rPr>
          <w:bCs/>
        </w:rPr>
        <w:t>the Application was</w:t>
      </w:r>
      <w:r w:rsidRPr="00034387">
        <w:rPr>
          <w:bCs/>
        </w:rPr>
        <w:t xml:space="preserve"> approximately $</w:t>
      </w:r>
      <w:r w:rsidR="00FA44E9">
        <w:rPr>
          <w:bCs/>
        </w:rPr>
        <w:t>12,866,033</w:t>
      </w:r>
      <w:r w:rsidRPr="00034387">
        <w:rPr>
          <w:bCs/>
        </w:rPr>
        <w:t xml:space="preserve"> or </w:t>
      </w:r>
      <w:r w:rsidR="00FA44E9">
        <w:rPr>
          <w:bCs/>
        </w:rPr>
        <w:t>8.8</w:t>
      </w:r>
      <w:r w:rsidR="000D4FAB">
        <w:rPr>
          <w:bCs/>
        </w:rPr>
        <w:t xml:space="preserve">% </w:t>
      </w:r>
      <w:r w:rsidR="000D4FAB" w:rsidRPr="00034387">
        <w:rPr>
          <w:bCs/>
        </w:rPr>
        <w:t>over</w:t>
      </w:r>
      <w:r w:rsidRPr="00034387">
        <w:rPr>
          <w:bCs/>
        </w:rPr>
        <w:t xml:space="preserve"> total delivery service rates</w:t>
      </w:r>
      <w:r w:rsidR="00386357" w:rsidRPr="00034387">
        <w:rPr>
          <w:bCs/>
        </w:rPr>
        <w:t xml:space="preserve"> (</w:t>
      </w:r>
      <w:r w:rsidR="00386357" w:rsidRPr="00034387">
        <w:rPr>
          <w:bCs/>
          <w:i/>
        </w:rPr>
        <w:t>See</w:t>
      </w:r>
      <w:r w:rsidR="00386357" w:rsidRPr="00034387">
        <w:rPr>
          <w:bCs/>
        </w:rPr>
        <w:t xml:space="preserve"> Application ¶</w:t>
      </w:r>
      <w:r w:rsidR="006F6AA4" w:rsidRPr="00034387">
        <w:rPr>
          <w:bCs/>
        </w:rPr>
        <w:t xml:space="preserve"> </w:t>
      </w:r>
      <w:r w:rsidR="00FA44E9">
        <w:rPr>
          <w:bCs/>
        </w:rPr>
        <w:t>5</w:t>
      </w:r>
      <w:r w:rsidR="00386357" w:rsidRPr="00034387">
        <w:rPr>
          <w:bCs/>
        </w:rPr>
        <w:t>)</w:t>
      </w:r>
      <w:r w:rsidR="00801C07" w:rsidRPr="00034387">
        <w:rPr>
          <w:bCs/>
        </w:rPr>
        <w:t xml:space="preserve">.  Pursuant to 26 </w:t>
      </w:r>
      <w:r w:rsidR="00801C07" w:rsidRPr="00034387">
        <w:rPr>
          <w:bCs/>
          <w:i/>
        </w:rPr>
        <w:t>Del. C.</w:t>
      </w:r>
      <w:r w:rsidR="00801C07" w:rsidRPr="00034387">
        <w:rPr>
          <w:bCs/>
        </w:rPr>
        <w:t xml:space="preserve"> </w:t>
      </w:r>
      <w:r w:rsidR="00801C07" w:rsidRPr="00034387">
        <w:rPr>
          <w:rFonts w:cs="Arial"/>
        </w:rPr>
        <w:t>§306(c) the</w:t>
      </w:r>
      <w:r w:rsidR="00801C07" w:rsidRPr="00034387">
        <w:rPr>
          <w:bCs/>
        </w:rPr>
        <w:t xml:space="preserve"> Company included in its </w:t>
      </w:r>
      <w:r w:rsidR="00230344" w:rsidRPr="00034387">
        <w:rPr>
          <w:bCs/>
        </w:rPr>
        <w:t>A</w:t>
      </w:r>
      <w:r w:rsidR="00801C07" w:rsidRPr="00034387">
        <w:rPr>
          <w:bCs/>
        </w:rPr>
        <w:t xml:space="preserve">pplication a request for authorization to collect temporary rates designed to produce an annual increase of $2,500,000 beginning </w:t>
      </w:r>
      <w:r w:rsidR="00643791">
        <w:rPr>
          <w:bCs/>
        </w:rPr>
        <w:t>November 1, 2017</w:t>
      </w:r>
      <w:r w:rsidR="00801C07" w:rsidRPr="00034387">
        <w:rPr>
          <w:bCs/>
        </w:rPr>
        <w:t xml:space="preserve"> (</w:t>
      </w:r>
      <w:r w:rsidR="00801C07" w:rsidRPr="00034387">
        <w:rPr>
          <w:bCs/>
          <w:i/>
        </w:rPr>
        <w:t>See</w:t>
      </w:r>
      <w:r w:rsidR="00801C07" w:rsidRPr="00034387">
        <w:rPr>
          <w:bCs/>
        </w:rPr>
        <w:t xml:space="preserve"> Application ¶ </w:t>
      </w:r>
      <w:r w:rsidR="00643791">
        <w:rPr>
          <w:bCs/>
        </w:rPr>
        <w:t>11</w:t>
      </w:r>
      <w:r w:rsidR="00801C07" w:rsidRPr="00034387">
        <w:rPr>
          <w:bCs/>
        </w:rPr>
        <w:t>).</w:t>
      </w:r>
      <w:r w:rsidR="0027334A" w:rsidRPr="00034387">
        <w:rPr>
          <w:bCs/>
        </w:rPr>
        <w:t xml:space="preserve">  The Company’s request to collect temporary interim rates was subsequently granted by the Commission through the issuance of Order N</w:t>
      </w:r>
      <w:r w:rsidR="00643791">
        <w:rPr>
          <w:bCs/>
        </w:rPr>
        <w:t>o. 9109</w:t>
      </w:r>
      <w:r w:rsidR="0027334A" w:rsidRPr="00034387">
        <w:rPr>
          <w:bCs/>
        </w:rPr>
        <w:t xml:space="preserve"> dated </w:t>
      </w:r>
      <w:r w:rsidR="00643791">
        <w:rPr>
          <w:bCs/>
        </w:rPr>
        <w:t>August 22, 2017</w:t>
      </w:r>
      <w:r w:rsidR="0027334A" w:rsidRPr="00034387">
        <w:rPr>
          <w:bCs/>
        </w:rPr>
        <w:t>.</w:t>
      </w:r>
      <w:r w:rsidR="0027334A" w:rsidRPr="00034387">
        <w:rPr>
          <w:rStyle w:val="FootnoteReference"/>
          <w:bCs/>
        </w:rPr>
        <w:footnoteReference w:id="1"/>
      </w:r>
    </w:p>
    <w:p w:rsidR="00230344" w:rsidRDefault="00230344" w:rsidP="00230344">
      <w:pPr>
        <w:spacing w:after="0" w:line="240" w:lineRule="auto"/>
        <w:jc w:val="both"/>
        <w:rPr>
          <w:bCs/>
        </w:rPr>
      </w:pPr>
    </w:p>
    <w:p w:rsidR="00565615" w:rsidRPr="00034387" w:rsidRDefault="00565615" w:rsidP="00230344">
      <w:pPr>
        <w:spacing w:after="0" w:line="240" w:lineRule="auto"/>
        <w:jc w:val="both"/>
        <w:rPr>
          <w:bCs/>
        </w:rPr>
      </w:pPr>
      <w:r>
        <w:rPr>
          <w:bCs/>
        </w:rPr>
        <w:tab/>
      </w:r>
      <w:r w:rsidR="00AF017D">
        <w:rPr>
          <w:bCs/>
        </w:rPr>
        <w:t xml:space="preserve">On November 7, 2017, the Company submitted a supplemental update (“Supplemental Update”) to reflect an </w:t>
      </w:r>
      <w:r w:rsidR="000D4FAB">
        <w:rPr>
          <w:bCs/>
        </w:rPr>
        <w:t>additional</w:t>
      </w:r>
      <w:r w:rsidR="00AF017D">
        <w:rPr>
          <w:bCs/>
        </w:rPr>
        <w:t xml:space="preserve"> </w:t>
      </w:r>
      <w:r w:rsidR="000D4FAB">
        <w:rPr>
          <w:bCs/>
        </w:rPr>
        <w:t>three</w:t>
      </w:r>
      <w:r w:rsidR="00AF017D">
        <w:rPr>
          <w:bCs/>
        </w:rPr>
        <w:t xml:space="preserve"> months of actual dat</w:t>
      </w:r>
      <w:r w:rsidR="000D4FAB">
        <w:rPr>
          <w:bCs/>
        </w:rPr>
        <w:t>a</w:t>
      </w:r>
      <w:r w:rsidR="00AF017D">
        <w:rPr>
          <w:bCs/>
        </w:rPr>
        <w:t xml:space="preserve"> as required by Section 1.2.3.1 of the MFR.  The </w:t>
      </w:r>
      <w:r w:rsidR="000D4FAB">
        <w:rPr>
          <w:bCs/>
        </w:rPr>
        <w:t>Supplemental</w:t>
      </w:r>
      <w:r w:rsidR="00AF017D">
        <w:rPr>
          <w:bCs/>
        </w:rPr>
        <w:t xml:space="preserve"> Update </w:t>
      </w:r>
      <w:r w:rsidR="000D4FAB">
        <w:rPr>
          <w:bCs/>
        </w:rPr>
        <w:t>reduced the</w:t>
      </w:r>
      <w:r w:rsidR="00AF017D">
        <w:rPr>
          <w:bCs/>
        </w:rPr>
        <w:t xml:space="preserve"> revenue </w:t>
      </w:r>
      <w:r w:rsidR="000D4FAB">
        <w:rPr>
          <w:bCs/>
        </w:rPr>
        <w:t xml:space="preserve">requirement </w:t>
      </w:r>
      <w:r w:rsidR="00AF017D">
        <w:rPr>
          <w:bCs/>
        </w:rPr>
        <w:t xml:space="preserve">increase to approximately $11,027,533. </w:t>
      </w:r>
      <w:r>
        <w:rPr>
          <w:bCs/>
        </w:rPr>
        <w:t>On February 9, 2018, pursuant to Order No. 9166 dated January</w:t>
      </w:r>
      <w:r w:rsidR="00AF017D">
        <w:rPr>
          <w:bCs/>
        </w:rPr>
        <w:t xml:space="preserve"> 16, 2018, Delmarva </w:t>
      </w:r>
      <w:r w:rsidR="00B512DC">
        <w:rPr>
          <w:bCs/>
        </w:rPr>
        <w:t>made</w:t>
      </w:r>
      <w:r w:rsidR="00AF017D">
        <w:rPr>
          <w:bCs/>
        </w:rPr>
        <w:t xml:space="preserve"> a </w:t>
      </w:r>
      <w:r>
        <w:rPr>
          <w:bCs/>
        </w:rPr>
        <w:t>supplemental filing</w:t>
      </w:r>
      <w:r w:rsidR="00AF017D">
        <w:rPr>
          <w:bCs/>
        </w:rPr>
        <w:t xml:space="preserve"> related to the </w:t>
      </w:r>
      <w:r w:rsidR="000D4FAB">
        <w:rPr>
          <w:bCs/>
        </w:rPr>
        <w:t>2017</w:t>
      </w:r>
      <w:r w:rsidR="00AF017D">
        <w:rPr>
          <w:bCs/>
        </w:rPr>
        <w:t xml:space="preserve"> Tax Cuts and Jobs Act</w:t>
      </w:r>
      <w:r w:rsidR="000D4FAB">
        <w:rPr>
          <w:bCs/>
        </w:rPr>
        <w:t xml:space="preserve"> </w:t>
      </w:r>
      <w:r>
        <w:rPr>
          <w:bCs/>
        </w:rPr>
        <w:t>which reduced the requested revenue increase to approximately $3,940,430.</w:t>
      </w:r>
    </w:p>
    <w:p w:rsidR="00565615" w:rsidRDefault="007239DB" w:rsidP="00230344">
      <w:pPr>
        <w:spacing w:after="0" w:line="240" w:lineRule="auto"/>
        <w:jc w:val="both"/>
        <w:rPr>
          <w:bCs/>
        </w:rPr>
      </w:pPr>
      <w:r w:rsidRPr="00034387">
        <w:rPr>
          <w:bCs/>
        </w:rPr>
        <w:tab/>
      </w:r>
    </w:p>
    <w:p w:rsidR="00221E2C" w:rsidRPr="00034387" w:rsidRDefault="007239DB" w:rsidP="00565615">
      <w:pPr>
        <w:spacing w:after="0" w:line="240" w:lineRule="auto"/>
        <w:ind w:firstLine="720"/>
        <w:jc w:val="both"/>
        <w:rPr>
          <w:rFonts w:cs="Arial"/>
        </w:rPr>
      </w:pPr>
      <w:r w:rsidRPr="00034387">
        <w:rPr>
          <w:bCs/>
        </w:rPr>
        <w:t xml:space="preserve">On </w:t>
      </w:r>
      <w:r w:rsidR="0088571E">
        <w:rPr>
          <w:bCs/>
        </w:rPr>
        <w:t>February 26, 2018</w:t>
      </w:r>
      <w:r w:rsidRPr="00034387">
        <w:rPr>
          <w:bCs/>
        </w:rPr>
        <w:t xml:space="preserve">, pursuant to 26 </w:t>
      </w:r>
      <w:r w:rsidRPr="00034387">
        <w:rPr>
          <w:bCs/>
          <w:i/>
        </w:rPr>
        <w:t>Del. C.</w:t>
      </w:r>
      <w:r w:rsidRPr="00034387">
        <w:rPr>
          <w:bCs/>
        </w:rPr>
        <w:t xml:space="preserve"> </w:t>
      </w:r>
      <w:r w:rsidRPr="00034387">
        <w:rPr>
          <w:rFonts w:cs="Arial"/>
        </w:rPr>
        <w:t xml:space="preserve">§306(b), </w:t>
      </w:r>
      <w:r w:rsidR="00B4489F" w:rsidRPr="00034387">
        <w:rPr>
          <w:bCs/>
        </w:rPr>
        <w:t>Delmarva</w:t>
      </w:r>
      <w:r w:rsidRPr="00034387">
        <w:rPr>
          <w:bCs/>
        </w:rPr>
        <w:t xml:space="preserve"> filed a petition</w:t>
      </w:r>
      <w:r w:rsidR="00230344" w:rsidRPr="00034387">
        <w:rPr>
          <w:bCs/>
        </w:rPr>
        <w:t xml:space="preserve"> (“Petition”)</w:t>
      </w:r>
      <w:r w:rsidRPr="00034387">
        <w:rPr>
          <w:bCs/>
        </w:rPr>
        <w:t xml:space="preserve"> to implement revised interim rates to </w:t>
      </w:r>
      <w:r w:rsidRPr="00034387">
        <w:rPr>
          <w:rFonts w:cs="Arial"/>
        </w:rPr>
        <w:t>collect the additional $</w:t>
      </w:r>
      <w:r w:rsidR="0088571E">
        <w:rPr>
          <w:rFonts w:cs="Arial"/>
        </w:rPr>
        <w:t>1,440,430</w:t>
      </w:r>
      <w:r w:rsidRPr="00034387">
        <w:rPr>
          <w:rFonts w:cs="Arial"/>
        </w:rPr>
        <w:t xml:space="preserve"> in revenues above the </w:t>
      </w:r>
      <w:r w:rsidR="0088571E">
        <w:rPr>
          <w:rFonts w:cs="Arial"/>
        </w:rPr>
        <w:t>initial</w:t>
      </w:r>
      <w:r w:rsidRPr="00034387">
        <w:rPr>
          <w:rFonts w:cs="Arial"/>
        </w:rPr>
        <w:t xml:space="preserve"> level </w:t>
      </w:r>
      <w:r w:rsidRPr="00034387">
        <w:rPr>
          <w:rFonts w:cs="Arial"/>
        </w:rPr>
        <w:lastRenderedPageBreak/>
        <w:t>of $2,500,000 set to be recovered from the implementation of the first interim rate</w:t>
      </w:r>
      <w:r w:rsidR="0027334A" w:rsidRPr="00034387">
        <w:rPr>
          <w:rFonts w:cs="Arial"/>
        </w:rPr>
        <w:t>s</w:t>
      </w:r>
      <w:r w:rsidRPr="00034387">
        <w:rPr>
          <w:rFonts w:cs="Arial"/>
        </w:rPr>
        <w:t xml:space="preserve"> </w:t>
      </w:r>
      <w:r w:rsidR="00845B23" w:rsidRPr="00034387">
        <w:rPr>
          <w:rFonts w:cs="Arial"/>
        </w:rPr>
        <w:t xml:space="preserve">that occurred </w:t>
      </w:r>
      <w:r w:rsidR="0088571E">
        <w:rPr>
          <w:rFonts w:cs="Arial"/>
        </w:rPr>
        <w:t>pursuant to Order No. 9109</w:t>
      </w:r>
      <w:r w:rsidRPr="00034387">
        <w:rPr>
          <w:rFonts w:cs="Arial"/>
        </w:rPr>
        <w:t>.</w:t>
      </w:r>
      <w:r w:rsidR="00C50195" w:rsidRPr="00034387">
        <w:rPr>
          <w:rFonts w:cs="Arial"/>
        </w:rPr>
        <w:t xml:space="preserve">  </w:t>
      </w:r>
    </w:p>
    <w:p w:rsidR="00B4489F" w:rsidRPr="00034387" w:rsidRDefault="00B4489F" w:rsidP="00230344">
      <w:pPr>
        <w:spacing w:after="0" w:line="240" w:lineRule="auto"/>
        <w:jc w:val="both"/>
        <w:rPr>
          <w:bCs/>
        </w:rPr>
      </w:pPr>
    </w:p>
    <w:p w:rsidR="005E78D0" w:rsidRPr="00034387" w:rsidRDefault="00221E2C" w:rsidP="00230344">
      <w:pPr>
        <w:spacing w:after="0" w:line="240" w:lineRule="auto"/>
        <w:jc w:val="both"/>
        <w:rPr>
          <w:rFonts w:cs="Arial"/>
          <w:b/>
          <w:u w:val="single"/>
        </w:rPr>
      </w:pPr>
      <w:r w:rsidRPr="00034387">
        <w:rPr>
          <w:rFonts w:cs="Arial"/>
          <w:b/>
          <w:u w:val="single"/>
        </w:rPr>
        <w:t>R</w:t>
      </w:r>
      <w:r w:rsidR="006F6AA4" w:rsidRPr="00034387">
        <w:rPr>
          <w:rFonts w:cs="Arial"/>
          <w:b/>
          <w:u w:val="single"/>
        </w:rPr>
        <w:t>eview and Recommendation</w:t>
      </w:r>
      <w:r w:rsidRPr="00034387">
        <w:rPr>
          <w:rFonts w:cs="Arial"/>
          <w:b/>
          <w:u w:val="single"/>
        </w:rPr>
        <w:t>:</w:t>
      </w:r>
    </w:p>
    <w:p w:rsidR="00063DF7" w:rsidRPr="00034387" w:rsidRDefault="00063DF7" w:rsidP="00230344">
      <w:pPr>
        <w:spacing w:after="0" w:line="240" w:lineRule="auto"/>
        <w:jc w:val="both"/>
        <w:rPr>
          <w:rFonts w:cs="Arial"/>
          <w:b/>
          <w:u w:val="single"/>
        </w:rPr>
      </w:pPr>
    </w:p>
    <w:p w:rsidR="00B93898" w:rsidRPr="00034387" w:rsidRDefault="00B93898" w:rsidP="00230344">
      <w:pPr>
        <w:spacing w:after="0" w:line="240" w:lineRule="auto"/>
        <w:ind w:firstLine="630"/>
        <w:jc w:val="both"/>
        <w:rPr>
          <w:rFonts w:cs="Arial"/>
        </w:rPr>
      </w:pPr>
      <w:r w:rsidRPr="00034387">
        <w:rPr>
          <w:bCs/>
        </w:rPr>
        <w:t xml:space="preserve">Under </w:t>
      </w:r>
      <w:r w:rsidRPr="00034387">
        <w:rPr>
          <w:rFonts w:cs="Arial"/>
        </w:rPr>
        <w:t>26</w:t>
      </w:r>
      <w:r w:rsidRPr="00034387">
        <w:rPr>
          <w:rFonts w:cs="Arial"/>
          <w:i/>
        </w:rPr>
        <w:t xml:space="preserve"> Del. C. </w:t>
      </w:r>
      <w:r w:rsidRPr="00034387">
        <w:rPr>
          <w:rFonts w:cs="Arial"/>
        </w:rPr>
        <w:t>§306(b), at the expiration of seven (7) months after the filing of an application for a rate increase, a public utility is authorized to implement its proposed rate increase, on a temporary basis and subject to refund, under bond with sureties, so long as the revised interim increase does not exceed 15% of the public utility’s gross intrastate operating revenues.</w:t>
      </w:r>
      <w:r w:rsidRPr="00034387">
        <w:rPr>
          <w:rStyle w:val="FootnoteReference"/>
          <w:rFonts w:cs="Arial"/>
        </w:rPr>
        <w:footnoteReference w:id="2"/>
      </w:r>
      <w:r w:rsidR="00230344" w:rsidRPr="00034387">
        <w:rPr>
          <w:rFonts w:cs="Arial"/>
        </w:rPr>
        <w:t xml:space="preserve"> </w:t>
      </w:r>
      <w:r w:rsidR="00230344" w:rsidRPr="00034387">
        <w:rPr>
          <w:rStyle w:val="FootnoteReference"/>
          <w:rFonts w:cs="Arial"/>
        </w:rPr>
        <w:footnoteReference w:id="3"/>
      </w:r>
      <w:r w:rsidRPr="00034387">
        <w:rPr>
          <w:rFonts w:cs="Arial"/>
        </w:rPr>
        <w:t xml:space="preserve">  </w:t>
      </w:r>
    </w:p>
    <w:p w:rsidR="00063DF7" w:rsidRPr="00034387" w:rsidRDefault="00063DF7" w:rsidP="00230344">
      <w:pPr>
        <w:spacing w:after="0" w:line="240" w:lineRule="auto"/>
        <w:ind w:firstLine="630"/>
        <w:jc w:val="both"/>
        <w:rPr>
          <w:rFonts w:cs="Arial"/>
        </w:rPr>
      </w:pPr>
    </w:p>
    <w:p w:rsidR="00034322" w:rsidRPr="00034387" w:rsidRDefault="00743346" w:rsidP="00230344">
      <w:pPr>
        <w:spacing w:after="0" w:line="240" w:lineRule="auto"/>
        <w:ind w:firstLine="630"/>
        <w:jc w:val="both"/>
        <w:rPr>
          <w:rFonts w:cs="Arial"/>
        </w:rPr>
      </w:pPr>
      <w:r w:rsidRPr="00034387">
        <w:rPr>
          <w:rFonts w:cs="Arial"/>
        </w:rPr>
        <w:t xml:space="preserve">Staff has reviewed the proposed revised interim rate calculations, the clean and redlined tariff sheets, and the rate derivation model contained within </w:t>
      </w:r>
      <w:r w:rsidR="00886F07" w:rsidRPr="00034387">
        <w:rPr>
          <w:rFonts w:cs="Arial"/>
        </w:rPr>
        <w:t>Delmarva</w:t>
      </w:r>
      <w:r w:rsidRPr="00034387">
        <w:rPr>
          <w:rFonts w:cs="Arial"/>
        </w:rPr>
        <w:t xml:space="preserve">’s </w:t>
      </w:r>
      <w:r w:rsidR="002E345B" w:rsidRPr="00034387">
        <w:rPr>
          <w:rFonts w:cs="Arial"/>
        </w:rPr>
        <w:t xml:space="preserve">Petition </w:t>
      </w:r>
      <w:r w:rsidRPr="00034387">
        <w:rPr>
          <w:rFonts w:cs="Arial"/>
        </w:rPr>
        <w:t>and concurs with the Company’s distribution of the revised interim rates which total approximately $</w:t>
      </w:r>
      <w:r w:rsidR="00B633DC">
        <w:rPr>
          <w:rFonts w:cs="Arial"/>
        </w:rPr>
        <w:t>1</w:t>
      </w:r>
      <w:r w:rsidR="002E345B" w:rsidRPr="00034387">
        <w:rPr>
          <w:rFonts w:cs="Arial"/>
        </w:rPr>
        <w:t>.4</w:t>
      </w:r>
      <w:r w:rsidRPr="00034387">
        <w:rPr>
          <w:rFonts w:cs="Arial"/>
        </w:rPr>
        <w:t xml:space="preserve"> million</w:t>
      </w:r>
      <w:r w:rsidR="002E345B" w:rsidRPr="00034387">
        <w:rPr>
          <w:rFonts w:cs="Arial"/>
        </w:rPr>
        <w:t xml:space="preserve"> compared to current rates</w:t>
      </w:r>
      <w:r w:rsidRPr="00034387">
        <w:rPr>
          <w:rFonts w:cs="Arial"/>
        </w:rPr>
        <w:t xml:space="preserve">.  The proposed revised interim rates, which will increase rates across all rate classes, are proposed to be effective with usage on and after </w:t>
      </w:r>
      <w:r w:rsidR="0088571E">
        <w:rPr>
          <w:rFonts w:cs="Arial"/>
        </w:rPr>
        <w:t>March 17, 2018</w:t>
      </w:r>
      <w:r w:rsidRPr="00034387">
        <w:rPr>
          <w:rFonts w:cs="Arial"/>
        </w:rPr>
        <w:t xml:space="preserve">, which is </w:t>
      </w:r>
      <w:r w:rsidR="0088571E">
        <w:rPr>
          <w:rFonts w:cs="Arial"/>
        </w:rPr>
        <w:t>in accordance with</w:t>
      </w:r>
      <w:r w:rsidRPr="00034387">
        <w:rPr>
          <w:rFonts w:cs="Arial"/>
        </w:rPr>
        <w:t xml:space="preserve"> the seven (7) month statutory time window. </w:t>
      </w:r>
    </w:p>
    <w:p w:rsidR="00063DF7" w:rsidRPr="00034387" w:rsidRDefault="00063DF7" w:rsidP="00230344">
      <w:pPr>
        <w:spacing w:after="0" w:line="240" w:lineRule="auto"/>
        <w:ind w:firstLine="630"/>
        <w:jc w:val="both"/>
        <w:rPr>
          <w:rFonts w:cs="Arial"/>
        </w:rPr>
      </w:pPr>
    </w:p>
    <w:p w:rsidR="004140DE" w:rsidRPr="0088571E" w:rsidRDefault="00A55781" w:rsidP="004140DE">
      <w:pPr>
        <w:spacing w:after="0" w:line="240" w:lineRule="auto"/>
        <w:ind w:firstLine="630"/>
        <w:jc w:val="both"/>
        <w:rPr>
          <w:rFonts w:cs="Arial"/>
        </w:rPr>
      </w:pPr>
      <w:r w:rsidRPr="0088571E">
        <w:rPr>
          <w:rFonts w:cs="Arial"/>
        </w:rPr>
        <w:t>Therefore, Staff respectfully recommends that the Commission approve implementation of the Company’s proposed revised interim rates with u</w:t>
      </w:r>
      <w:r w:rsidR="004140DE" w:rsidRPr="0088571E">
        <w:rPr>
          <w:rFonts w:cs="Arial"/>
        </w:rPr>
        <w:t xml:space="preserve">sage on or after </w:t>
      </w:r>
      <w:r w:rsidR="0088571E">
        <w:rPr>
          <w:rFonts w:cs="Arial"/>
        </w:rPr>
        <w:t>March 17, 2018</w:t>
      </w:r>
      <w:r w:rsidR="004140DE" w:rsidRPr="0088571E">
        <w:rPr>
          <w:rFonts w:cs="Arial"/>
        </w:rPr>
        <w:t>.  Staff also recommends that the Commission require Delmarva to file with the Commission a rate refund bond, without surety, within ten (10) days of Commission approval.</w:t>
      </w:r>
    </w:p>
    <w:p w:rsidR="00A55781" w:rsidRDefault="00A55781" w:rsidP="00230344">
      <w:pPr>
        <w:spacing w:after="0" w:line="240" w:lineRule="auto"/>
        <w:ind w:firstLine="630"/>
        <w:jc w:val="both"/>
        <w:rPr>
          <w:rFonts w:ascii="Arial" w:hAnsi="Arial" w:cs="Arial"/>
        </w:rPr>
      </w:pPr>
    </w:p>
    <w:sectPr w:rsidR="00A55781" w:rsidSect="00953329">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6C" w:rsidRDefault="001E256C" w:rsidP="00D34296">
      <w:pPr>
        <w:spacing w:after="0" w:line="240" w:lineRule="auto"/>
      </w:pPr>
      <w:r>
        <w:separator/>
      </w:r>
    </w:p>
  </w:endnote>
  <w:endnote w:type="continuationSeparator" w:id="0">
    <w:p w:rsidR="001E256C" w:rsidRDefault="001E256C" w:rsidP="00D3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6C" w:rsidRDefault="001E256C" w:rsidP="00D34296">
      <w:pPr>
        <w:spacing w:after="0" w:line="240" w:lineRule="auto"/>
      </w:pPr>
      <w:r>
        <w:separator/>
      </w:r>
    </w:p>
  </w:footnote>
  <w:footnote w:type="continuationSeparator" w:id="0">
    <w:p w:rsidR="001E256C" w:rsidRDefault="001E256C" w:rsidP="00D34296">
      <w:pPr>
        <w:spacing w:after="0" w:line="240" w:lineRule="auto"/>
      </w:pPr>
      <w:r>
        <w:continuationSeparator/>
      </w:r>
    </w:p>
  </w:footnote>
  <w:footnote w:id="1">
    <w:p w:rsidR="0027334A" w:rsidRDefault="0027334A">
      <w:pPr>
        <w:pStyle w:val="FootnoteText"/>
      </w:pPr>
      <w:r>
        <w:rPr>
          <w:rStyle w:val="FootnoteReference"/>
        </w:rPr>
        <w:footnoteRef/>
      </w:r>
      <w:r>
        <w:t xml:space="preserve"> </w:t>
      </w:r>
      <w:r w:rsidRPr="0027334A">
        <w:t xml:space="preserve">PSC Order No. </w:t>
      </w:r>
      <w:r w:rsidR="00643791">
        <w:t>9109</w:t>
      </w:r>
      <w:r w:rsidRPr="0027334A">
        <w:t xml:space="preserve"> also granted </w:t>
      </w:r>
      <w:r w:rsidR="00B4489F">
        <w:t>Delmarva</w:t>
      </w:r>
      <w:r w:rsidRPr="0027334A">
        <w:t>’s r</w:t>
      </w:r>
      <w:r w:rsidR="00643791">
        <w:t xml:space="preserve">equest to waive the requirements of Section 2.2 of the Minimum </w:t>
      </w:r>
      <w:r w:rsidR="000D4FAB">
        <w:t>Filling</w:t>
      </w:r>
      <w:r w:rsidR="00643791">
        <w:t xml:space="preserve"> Requirements (“MFR”) regard</w:t>
      </w:r>
      <w:r w:rsidR="00D56A5C">
        <w:t xml:space="preserve">ing plant capacity and service; </w:t>
      </w:r>
      <w:r w:rsidR="00643791">
        <w:t xml:space="preserve">Section 5.3.8 of the MFR </w:t>
      </w:r>
      <w:r w:rsidR="00565615">
        <w:t xml:space="preserve">regarding purchased power data and deferred </w:t>
      </w:r>
      <w:r w:rsidR="000D4FAB">
        <w:t>fuel</w:t>
      </w:r>
      <w:r w:rsidR="00565615">
        <w:t xml:space="preserve"> cost accounting</w:t>
      </w:r>
      <w:r w:rsidR="00D56A5C">
        <w:t>;</w:t>
      </w:r>
      <w:r w:rsidR="00565615">
        <w:t xml:space="preserve"> and </w:t>
      </w:r>
      <w:r w:rsidR="00B4489F">
        <w:t xml:space="preserve">Section 5.3.14 of the </w:t>
      </w:r>
      <w:r w:rsidR="00565615">
        <w:t>MFR</w:t>
      </w:r>
      <w:r w:rsidR="00B4489F">
        <w:t xml:space="preserve"> requiring expense information to be filed relating to certain affiliated transactions.</w:t>
      </w:r>
    </w:p>
  </w:footnote>
  <w:footnote w:id="2">
    <w:p w:rsidR="00B93898" w:rsidRPr="00B93898" w:rsidRDefault="00B93898" w:rsidP="00B93898">
      <w:pPr>
        <w:spacing w:after="0" w:line="240" w:lineRule="auto"/>
        <w:jc w:val="both"/>
        <w:rPr>
          <w:rFonts w:cs="Arial"/>
          <w:color w:val="000000" w:themeColor="text1"/>
          <w:sz w:val="20"/>
          <w:szCs w:val="20"/>
        </w:rPr>
      </w:pPr>
      <w:r>
        <w:rPr>
          <w:rStyle w:val="FootnoteReference"/>
        </w:rPr>
        <w:footnoteRef/>
      </w:r>
      <w:r>
        <w:t xml:space="preserve"> </w:t>
      </w:r>
      <w:r w:rsidRPr="00B93898">
        <w:rPr>
          <w:rFonts w:cs="Arial"/>
          <w:color w:val="000000" w:themeColor="text1"/>
          <w:sz w:val="20"/>
          <w:szCs w:val="20"/>
        </w:rPr>
        <w:t>26</w:t>
      </w:r>
      <w:r w:rsidRPr="00B93898">
        <w:rPr>
          <w:rFonts w:cs="Arial"/>
          <w:i/>
          <w:color w:val="000000" w:themeColor="text1"/>
          <w:sz w:val="20"/>
          <w:szCs w:val="20"/>
        </w:rPr>
        <w:t xml:space="preserve"> Del. C. </w:t>
      </w:r>
      <w:r w:rsidRPr="00B93898">
        <w:rPr>
          <w:rFonts w:cs="Arial"/>
          <w:color w:val="000000" w:themeColor="text1"/>
          <w:sz w:val="20"/>
          <w:szCs w:val="20"/>
        </w:rPr>
        <w:t>§306(b): “</w:t>
      </w:r>
      <w:r w:rsidRPr="00B93898">
        <w:rPr>
          <w:rFonts w:cs="Helvetica"/>
          <w:color w:val="000000" w:themeColor="text1"/>
          <w:sz w:val="20"/>
          <w:szCs w:val="20"/>
          <w:shd w:val="clear" w:color="auto" w:fill="FFFFFF"/>
        </w:rPr>
        <w:t>Upon termination of the 7 months as set forth in paragraph (a)(1) of this section the proposed rate change shall automatically become effective if the public utility files with the Commission a bond in a reasonable amount approved by the Commission with sureties approved by the Commission, conditioned upon the refund, in a manner to be prescribed by order of the Commission, to the persons entitled thereto of the amount of the excess, if the rate so put into effect is finally determined to be excessive; or there may be substituted for such bond other arrangements satisfactory to the Commission for the protection of the parties interested. In no event shall a public utility put a rate into effect under bond as authorized in this subsection that would constitute an increase in excess of 15 percent of the public utility's gross intrastate operating revenues.”</w:t>
      </w:r>
    </w:p>
    <w:p w:rsidR="00B93898" w:rsidRDefault="00B93898">
      <w:pPr>
        <w:pStyle w:val="FootnoteText"/>
      </w:pPr>
    </w:p>
  </w:footnote>
  <w:footnote w:id="3">
    <w:p w:rsidR="00230344" w:rsidRDefault="00230344" w:rsidP="00230344">
      <w:pPr>
        <w:pStyle w:val="FootnoteText"/>
        <w:jc w:val="both"/>
      </w:pPr>
      <w:r>
        <w:rPr>
          <w:rStyle w:val="FootnoteReference"/>
        </w:rPr>
        <w:footnoteRef/>
      </w:r>
      <w:r w:rsidR="000D4FAB">
        <w:t xml:space="preserve"> On its 2016</w:t>
      </w:r>
      <w:r>
        <w:t xml:space="preserve"> annual gross revenue return filed on </w:t>
      </w:r>
      <w:r w:rsidR="000D4FAB">
        <w:t>April 4, 2017</w:t>
      </w:r>
      <w:r>
        <w:t xml:space="preserve">, </w:t>
      </w:r>
      <w:r w:rsidR="00830562">
        <w:t xml:space="preserve">Delmarva </w:t>
      </w:r>
      <w:r>
        <w:t>reported gross Delaware intrastate operating revenues of $</w:t>
      </w:r>
      <w:r w:rsidR="000D4FAB">
        <w:t>131,854,604</w:t>
      </w:r>
      <w:r>
        <w:t xml:space="preserve">.  </w:t>
      </w:r>
      <w:r w:rsidR="00063DF7">
        <w:t>Hence</w:t>
      </w:r>
      <w:r>
        <w:t xml:space="preserve">, </w:t>
      </w:r>
      <w:r w:rsidR="00830562">
        <w:t xml:space="preserve">Delmarva’s </w:t>
      </w:r>
      <w:r>
        <w:t>revised interim increase does not exceed 15% of its intrastate operating revenues ($</w:t>
      </w:r>
      <w:r w:rsidR="000D4FAB">
        <w:t>19,778,190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96" w:rsidRPr="00034387" w:rsidRDefault="00D34296" w:rsidP="00D34296">
    <w:pPr>
      <w:pStyle w:val="Header"/>
      <w:rPr>
        <w:sz w:val="20"/>
        <w:szCs w:val="20"/>
      </w:rPr>
    </w:pPr>
    <w:r w:rsidRPr="00034387">
      <w:rPr>
        <w:sz w:val="20"/>
        <w:szCs w:val="20"/>
      </w:rPr>
      <w:t>The Chair and Members of the Commission</w:t>
    </w:r>
  </w:p>
  <w:p w:rsidR="00D34296" w:rsidRPr="00034387" w:rsidRDefault="00D34296" w:rsidP="00D34296">
    <w:pPr>
      <w:pStyle w:val="Header"/>
      <w:rPr>
        <w:sz w:val="20"/>
        <w:szCs w:val="20"/>
      </w:rPr>
    </w:pPr>
    <w:r w:rsidRPr="00034387">
      <w:rPr>
        <w:sz w:val="20"/>
        <w:szCs w:val="20"/>
      </w:rPr>
      <w:t xml:space="preserve">PSC Docket No. </w:t>
    </w:r>
    <w:r w:rsidR="00034387">
      <w:rPr>
        <w:sz w:val="20"/>
        <w:szCs w:val="20"/>
      </w:rPr>
      <w:t>17-0978</w:t>
    </w:r>
  </w:p>
  <w:p w:rsidR="00D34296" w:rsidRPr="00034387" w:rsidRDefault="00034387" w:rsidP="00D34296">
    <w:pPr>
      <w:pStyle w:val="Header"/>
      <w:tabs>
        <w:tab w:val="clear" w:pos="4680"/>
        <w:tab w:val="clear" w:pos="9360"/>
        <w:tab w:val="left" w:pos="3000"/>
      </w:tabs>
      <w:rPr>
        <w:sz w:val="20"/>
        <w:szCs w:val="20"/>
      </w:rPr>
    </w:pPr>
    <w:r>
      <w:rPr>
        <w:sz w:val="20"/>
        <w:szCs w:val="20"/>
      </w:rPr>
      <w:t>March 1, 2018</w:t>
    </w:r>
    <w:r w:rsidR="00BE350E" w:rsidRPr="00034387">
      <w:rPr>
        <w:sz w:val="20"/>
        <w:szCs w:val="20"/>
      </w:rPr>
      <w:tab/>
    </w:r>
    <w:r w:rsidR="00BE350E" w:rsidRPr="00034387">
      <w:rPr>
        <w:sz w:val="20"/>
        <w:szCs w:val="20"/>
      </w:rPr>
      <w:br/>
      <w:t xml:space="preserve">Page </w:t>
    </w:r>
    <w:r w:rsidR="00BE350E" w:rsidRPr="00034387">
      <w:rPr>
        <w:sz w:val="20"/>
        <w:szCs w:val="20"/>
      </w:rPr>
      <w:fldChar w:fldCharType="begin"/>
    </w:r>
    <w:r w:rsidR="00BE350E" w:rsidRPr="00034387">
      <w:rPr>
        <w:sz w:val="20"/>
        <w:szCs w:val="20"/>
      </w:rPr>
      <w:instrText xml:space="preserve"> PAGE  \* Arabic  \* MERGEFORMAT </w:instrText>
    </w:r>
    <w:r w:rsidR="00BE350E" w:rsidRPr="00034387">
      <w:rPr>
        <w:sz w:val="20"/>
        <w:szCs w:val="20"/>
      </w:rPr>
      <w:fldChar w:fldCharType="separate"/>
    </w:r>
    <w:r w:rsidR="009277B8">
      <w:rPr>
        <w:noProof/>
        <w:sz w:val="20"/>
        <w:szCs w:val="20"/>
      </w:rPr>
      <w:t>2</w:t>
    </w:r>
    <w:r w:rsidR="00BE350E" w:rsidRPr="00034387">
      <w:rPr>
        <w:sz w:val="20"/>
        <w:szCs w:val="20"/>
      </w:rPr>
      <w:fldChar w:fldCharType="end"/>
    </w:r>
    <w:r w:rsidR="00BE350E" w:rsidRPr="00034387">
      <w:rPr>
        <w:sz w:val="20"/>
        <w:szCs w:val="20"/>
      </w:rPr>
      <w:t xml:space="preserve"> of </w:t>
    </w:r>
    <w:r w:rsidR="00830562" w:rsidRPr="00034387">
      <w:rPr>
        <w:sz w:val="20"/>
        <w:szCs w:val="20"/>
      </w:rPr>
      <w:fldChar w:fldCharType="begin"/>
    </w:r>
    <w:r w:rsidR="00830562" w:rsidRPr="00034387">
      <w:rPr>
        <w:sz w:val="20"/>
        <w:szCs w:val="20"/>
      </w:rPr>
      <w:instrText xml:space="preserve"> NUMPAGES  \* Arabic  \* MERGEFORMAT </w:instrText>
    </w:r>
    <w:r w:rsidR="00830562" w:rsidRPr="00034387">
      <w:rPr>
        <w:sz w:val="20"/>
        <w:szCs w:val="20"/>
      </w:rPr>
      <w:fldChar w:fldCharType="separate"/>
    </w:r>
    <w:r w:rsidR="009277B8">
      <w:rPr>
        <w:noProof/>
        <w:sz w:val="20"/>
        <w:szCs w:val="20"/>
      </w:rPr>
      <w:t>2</w:t>
    </w:r>
    <w:r w:rsidR="00830562" w:rsidRPr="00034387">
      <w:rPr>
        <w:noProof/>
        <w:sz w:val="20"/>
        <w:szCs w:val="20"/>
      </w:rPr>
      <w:fldChar w:fldCharType="end"/>
    </w:r>
  </w:p>
  <w:p w:rsidR="00D34296" w:rsidRDefault="00D34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436"/>
    <w:multiLevelType w:val="hybridMultilevel"/>
    <w:tmpl w:val="6744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B1C5C"/>
    <w:multiLevelType w:val="hybridMultilevel"/>
    <w:tmpl w:val="6666E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FE4262"/>
    <w:multiLevelType w:val="hybridMultilevel"/>
    <w:tmpl w:val="E19A5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A65BCD"/>
    <w:multiLevelType w:val="hybridMultilevel"/>
    <w:tmpl w:val="F404C13C"/>
    <w:lvl w:ilvl="0" w:tplc="0C4E73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01"/>
    <w:rsid w:val="00034322"/>
    <w:rsid w:val="00034387"/>
    <w:rsid w:val="0004248F"/>
    <w:rsid w:val="00063DF7"/>
    <w:rsid w:val="000B608C"/>
    <w:rsid w:val="000D4FAB"/>
    <w:rsid w:val="00111DF0"/>
    <w:rsid w:val="0011747D"/>
    <w:rsid w:val="00147ECD"/>
    <w:rsid w:val="00164025"/>
    <w:rsid w:val="0017041F"/>
    <w:rsid w:val="001766C2"/>
    <w:rsid w:val="001A07D1"/>
    <w:rsid w:val="001A1567"/>
    <w:rsid w:val="001B41D5"/>
    <w:rsid w:val="001E256C"/>
    <w:rsid w:val="00221E2C"/>
    <w:rsid w:val="00230344"/>
    <w:rsid w:val="0027334A"/>
    <w:rsid w:val="00287242"/>
    <w:rsid w:val="002E345B"/>
    <w:rsid w:val="00377C7E"/>
    <w:rsid w:val="00385C63"/>
    <w:rsid w:val="00386357"/>
    <w:rsid w:val="003B5C98"/>
    <w:rsid w:val="003C400D"/>
    <w:rsid w:val="003F4670"/>
    <w:rsid w:val="00400F73"/>
    <w:rsid w:val="00407279"/>
    <w:rsid w:val="004140DE"/>
    <w:rsid w:val="00430155"/>
    <w:rsid w:val="004D18BE"/>
    <w:rsid w:val="005514F4"/>
    <w:rsid w:val="00565615"/>
    <w:rsid w:val="005A5D69"/>
    <w:rsid w:val="005E78D0"/>
    <w:rsid w:val="005F4A61"/>
    <w:rsid w:val="00604444"/>
    <w:rsid w:val="006131BD"/>
    <w:rsid w:val="00615D15"/>
    <w:rsid w:val="00643791"/>
    <w:rsid w:val="00665D86"/>
    <w:rsid w:val="006752FE"/>
    <w:rsid w:val="006A1731"/>
    <w:rsid w:val="006B47E5"/>
    <w:rsid w:val="006F0DAE"/>
    <w:rsid w:val="006F6AA4"/>
    <w:rsid w:val="007239DB"/>
    <w:rsid w:val="00743346"/>
    <w:rsid w:val="00743583"/>
    <w:rsid w:val="00770DF1"/>
    <w:rsid w:val="00787614"/>
    <w:rsid w:val="00797943"/>
    <w:rsid w:val="007A22E6"/>
    <w:rsid w:val="007B0D45"/>
    <w:rsid w:val="007C4AFA"/>
    <w:rsid w:val="007C747D"/>
    <w:rsid w:val="007D6C27"/>
    <w:rsid w:val="00801C07"/>
    <w:rsid w:val="0081240C"/>
    <w:rsid w:val="0081767F"/>
    <w:rsid w:val="00830562"/>
    <w:rsid w:val="00845B23"/>
    <w:rsid w:val="0088571E"/>
    <w:rsid w:val="00886F07"/>
    <w:rsid w:val="008A318A"/>
    <w:rsid w:val="00915A6D"/>
    <w:rsid w:val="00916FB4"/>
    <w:rsid w:val="009277B8"/>
    <w:rsid w:val="00940BC0"/>
    <w:rsid w:val="00953329"/>
    <w:rsid w:val="0096640B"/>
    <w:rsid w:val="00984FD8"/>
    <w:rsid w:val="0099074D"/>
    <w:rsid w:val="009937D3"/>
    <w:rsid w:val="009968D6"/>
    <w:rsid w:val="009C5DA3"/>
    <w:rsid w:val="00A05B48"/>
    <w:rsid w:val="00A55781"/>
    <w:rsid w:val="00A76A01"/>
    <w:rsid w:val="00AB2F72"/>
    <w:rsid w:val="00AB3AD8"/>
    <w:rsid w:val="00AC4BEB"/>
    <w:rsid w:val="00AF017D"/>
    <w:rsid w:val="00B4489F"/>
    <w:rsid w:val="00B512DC"/>
    <w:rsid w:val="00B633DC"/>
    <w:rsid w:val="00B93898"/>
    <w:rsid w:val="00BC1C33"/>
    <w:rsid w:val="00BE350E"/>
    <w:rsid w:val="00C17EC1"/>
    <w:rsid w:val="00C47CEB"/>
    <w:rsid w:val="00C50195"/>
    <w:rsid w:val="00C63F98"/>
    <w:rsid w:val="00C71E4E"/>
    <w:rsid w:val="00C93D21"/>
    <w:rsid w:val="00D34296"/>
    <w:rsid w:val="00D56A5C"/>
    <w:rsid w:val="00D8182C"/>
    <w:rsid w:val="00DF2705"/>
    <w:rsid w:val="00DF4755"/>
    <w:rsid w:val="00E10D59"/>
    <w:rsid w:val="00E118A4"/>
    <w:rsid w:val="00E411AC"/>
    <w:rsid w:val="00E727A7"/>
    <w:rsid w:val="00E82CEB"/>
    <w:rsid w:val="00E840BE"/>
    <w:rsid w:val="00F24816"/>
    <w:rsid w:val="00F6453E"/>
    <w:rsid w:val="00F73B8F"/>
    <w:rsid w:val="00FA44E9"/>
    <w:rsid w:val="00FB17FF"/>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01"/>
    <w:rPr>
      <w:rFonts w:ascii="Tahoma" w:hAnsi="Tahoma" w:cs="Tahoma"/>
      <w:sz w:val="16"/>
      <w:szCs w:val="16"/>
    </w:rPr>
  </w:style>
  <w:style w:type="paragraph" w:styleId="Header">
    <w:name w:val="header"/>
    <w:basedOn w:val="Normal"/>
    <w:link w:val="HeaderChar"/>
    <w:uiPriority w:val="99"/>
    <w:unhideWhenUsed/>
    <w:rsid w:val="00D3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96"/>
  </w:style>
  <w:style w:type="paragraph" w:styleId="Footer">
    <w:name w:val="footer"/>
    <w:basedOn w:val="Normal"/>
    <w:link w:val="FooterChar"/>
    <w:uiPriority w:val="99"/>
    <w:unhideWhenUsed/>
    <w:rsid w:val="00D3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96"/>
  </w:style>
  <w:style w:type="paragraph" w:styleId="FootnoteText">
    <w:name w:val="footnote text"/>
    <w:basedOn w:val="Normal"/>
    <w:link w:val="FootnoteTextChar"/>
    <w:uiPriority w:val="99"/>
    <w:semiHidden/>
    <w:unhideWhenUsed/>
    <w:rsid w:val="005F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A61"/>
    <w:rPr>
      <w:sz w:val="20"/>
      <w:szCs w:val="20"/>
    </w:rPr>
  </w:style>
  <w:style w:type="character" w:styleId="FootnoteReference">
    <w:name w:val="footnote reference"/>
    <w:basedOn w:val="DefaultParagraphFont"/>
    <w:uiPriority w:val="99"/>
    <w:semiHidden/>
    <w:unhideWhenUsed/>
    <w:rsid w:val="005F4A61"/>
    <w:rPr>
      <w:vertAlign w:val="superscript"/>
    </w:rPr>
  </w:style>
  <w:style w:type="character" w:styleId="Hyperlink">
    <w:name w:val="Hyperlink"/>
    <w:basedOn w:val="DefaultParagraphFont"/>
    <w:uiPriority w:val="99"/>
    <w:unhideWhenUsed/>
    <w:rsid w:val="005F4A61"/>
    <w:rPr>
      <w:color w:val="0000FF" w:themeColor="hyperlink"/>
      <w:u w:val="single"/>
    </w:rPr>
  </w:style>
  <w:style w:type="paragraph" w:styleId="ListParagraph">
    <w:name w:val="List Paragraph"/>
    <w:basedOn w:val="Normal"/>
    <w:uiPriority w:val="34"/>
    <w:qFormat/>
    <w:rsid w:val="00407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01"/>
    <w:rPr>
      <w:rFonts w:ascii="Tahoma" w:hAnsi="Tahoma" w:cs="Tahoma"/>
      <w:sz w:val="16"/>
      <w:szCs w:val="16"/>
    </w:rPr>
  </w:style>
  <w:style w:type="paragraph" w:styleId="Header">
    <w:name w:val="header"/>
    <w:basedOn w:val="Normal"/>
    <w:link w:val="HeaderChar"/>
    <w:uiPriority w:val="99"/>
    <w:unhideWhenUsed/>
    <w:rsid w:val="00D3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96"/>
  </w:style>
  <w:style w:type="paragraph" w:styleId="Footer">
    <w:name w:val="footer"/>
    <w:basedOn w:val="Normal"/>
    <w:link w:val="FooterChar"/>
    <w:uiPriority w:val="99"/>
    <w:unhideWhenUsed/>
    <w:rsid w:val="00D3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96"/>
  </w:style>
  <w:style w:type="paragraph" w:styleId="FootnoteText">
    <w:name w:val="footnote text"/>
    <w:basedOn w:val="Normal"/>
    <w:link w:val="FootnoteTextChar"/>
    <w:uiPriority w:val="99"/>
    <w:semiHidden/>
    <w:unhideWhenUsed/>
    <w:rsid w:val="005F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A61"/>
    <w:rPr>
      <w:sz w:val="20"/>
      <w:szCs w:val="20"/>
    </w:rPr>
  </w:style>
  <w:style w:type="character" w:styleId="FootnoteReference">
    <w:name w:val="footnote reference"/>
    <w:basedOn w:val="DefaultParagraphFont"/>
    <w:uiPriority w:val="99"/>
    <w:semiHidden/>
    <w:unhideWhenUsed/>
    <w:rsid w:val="005F4A61"/>
    <w:rPr>
      <w:vertAlign w:val="superscript"/>
    </w:rPr>
  </w:style>
  <w:style w:type="character" w:styleId="Hyperlink">
    <w:name w:val="Hyperlink"/>
    <w:basedOn w:val="DefaultParagraphFont"/>
    <w:uiPriority w:val="99"/>
    <w:unhideWhenUsed/>
    <w:rsid w:val="005F4A61"/>
    <w:rPr>
      <w:color w:val="0000FF" w:themeColor="hyperlink"/>
      <w:u w:val="single"/>
    </w:rPr>
  </w:style>
  <w:style w:type="paragraph" w:styleId="ListParagraph">
    <w:name w:val="List Paragraph"/>
    <w:basedOn w:val="Normal"/>
    <w:uiPriority w:val="34"/>
    <w:qFormat/>
    <w:rsid w:val="00407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5B48-D3C2-4643-B95C-4FDD9BD3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jason.r.smith</dc:creator>
  <cp:lastModifiedBy>Nickerson, Donna L (DOS)</cp:lastModifiedBy>
  <cp:revision>2</cp:revision>
  <cp:lastPrinted>2014-07-11T18:02:00Z</cp:lastPrinted>
  <dcterms:created xsi:type="dcterms:W3CDTF">2018-03-08T17:38:00Z</dcterms:created>
  <dcterms:modified xsi:type="dcterms:W3CDTF">2018-03-08T17:38:00Z</dcterms:modified>
</cp:coreProperties>
</file>